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8CC" w:rsidRDefault="008768CC" w:rsidP="008768CC">
      <w:pPr>
        <w:widowControl w:val="0"/>
        <w:spacing w:line="500" w:lineRule="exact"/>
        <w:ind w:firstLineChars="0" w:firstLine="0"/>
        <w:rPr>
          <w:rFonts w:hAnsiTheme="minorEastAsia"/>
          <w:sz w:val="30"/>
          <w:szCs w:val="30"/>
        </w:rPr>
      </w:pPr>
      <w:r>
        <w:rPr>
          <w:rFonts w:hAnsiTheme="minorEastAsia" w:hint="eastAsia"/>
          <w:sz w:val="30"/>
          <w:szCs w:val="30"/>
        </w:rPr>
        <w:t>附件:</w:t>
      </w:r>
    </w:p>
    <w:p w:rsidR="008768CC" w:rsidRDefault="008768CC" w:rsidP="008768CC">
      <w:pPr>
        <w:widowControl w:val="0"/>
        <w:spacing w:line="500" w:lineRule="exact"/>
        <w:ind w:firstLineChars="0" w:firstLine="0"/>
        <w:jc w:val="left"/>
        <w:rPr>
          <w:rFonts w:asciiTheme="minorEastAsia" w:eastAsiaTheme="minorEastAsia" w:hAnsiTheme="minorEastAsia"/>
          <w:sz w:val="28"/>
          <w:szCs w:val="28"/>
        </w:rPr>
      </w:pPr>
    </w:p>
    <w:p w:rsidR="008768CC" w:rsidRDefault="008768CC" w:rsidP="008768CC">
      <w:pPr>
        <w:widowControl w:val="0"/>
        <w:spacing w:line="500" w:lineRule="exact"/>
        <w:ind w:firstLineChars="0" w:firstLine="0"/>
        <w:jc w:val="left"/>
        <w:rPr>
          <w:rFonts w:asciiTheme="minorEastAsia" w:eastAsiaTheme="minorEastAsia" w:hAnsiTheme="minorEastAsia"/>
          <w:b/>
          <w:sz w:val="28"/>
          <w:szCs w:val="28"/>
        </w:rPr>
      </w:pPr>
    </w:p>
    <w:p w:rsidR="008768CC" w:rsidRDefault="008768CC" w:rsidP="008768CC">
      <w:pPr>
        <w:widowControl w:val="0"/>
        <w:spacing w:line="500" w:lineRule="exact"/>
        <w:ind w:firstLineChars="0" w:firstLine="0"/>
        <w:jc w:val="left"/>
        <w:rPr>
          <w:rFonts w:asciiTheme="minorEastAsia" w:eastAsiaTheme="minorEastAsia" w:hAnsiTheme="minorEastAsia"/>
          <w:b/>
          <w:sz w:val="28"/>
          <w:szCs w:val="28"/>
        </w:rPr>
      </w:pPr>
    </w:p>
    <w:p w:rsidR="008768CC" w:rsidRDefault="008768CC" w:rsidP="008768CC">
      <w:pPr>
        <w:widowControl w:val="0"/>
        <w:spacing w:line="500" w:lineRule="exact"/>
        <w:ind w:firstLineChars="0" w:firstLine="0"/>
        <w:jc w:val="left"/>
        <w:rPr>
          <w:rFonts w:asciiTheme="minorEastAsia" w:eastAsiaTheme="minorEastAsia" w:hAnsiTheme="minorEastAsia"/>
          <w:b/>
          <w:sz w:val="28"/>
          <w:szCs w:val="28"/>
        </w:rPr>
      </w:pPr>
    </w:p>
    <w:p w:rsidR="008768CC" w:rsidRDefault="008768CC" w:rsidP="008768CC">
      <w:pPr>
        <w:widowControl w:val="0"/>
        <w:spacing w:line="500" w:lineRule="exact"/>
        <w:ind w:firstLineChars="0" w:firstLine="0"/>
        <w:jc w:val="left"/>
        <w:rPr>
          <w:rFonts w:asciiTheme="minorEastAsia" w:eastAsiaTheme="minorEastAsia" w:hAnsiTheme="minorEastAsia"/>
          <w:b/>
          <w:sz w:val="28"/>
          <w:szCs w:val="28"/>
        </w:rPr>
      </w:pPr>
    </w:p>
    <w:p w:rsidR="008768CC" w:rsidRDefault="008768CC" w:rsidP="008768CC">
      <w:pPr>
        <w:widowControl w:val="0"/>
        <w:spacing w:line="500" w:lineRule="exact"/>
        <w:ind w:firstLineChars="0" w:firstLine="0"/>
        <w:jc w:val="left"/>
        <w:rPr>
          <w:rFonts w:asciiTheme="minorEastAsia" w:eastAsiaTheme="minorEastAsia" w:hAnsiTheme="minorEastAsia"/>
          <w:b/>
          <w:sz w:val="28"/>
          <w:szCs w:val="28"/>
        </w:rPr>
      </w:pPr>
    </w:p>
    <w:p w:rsidR="008768CC" w:rsidRDefault="008768CC" w:rsidP="008768CC">
      <w:pPr>
        <w:widowControl w:val="0"/>
        <w:spacing w:line="500" w:lineRule="exact"/>
        <w:ind w:firstLineChars="0" w:firstLine="0"/>
        <w:jc w:val="left"/>
        <w:rPr>
          <w:rFonts w:asciiTheme="minorEastAsia" w:eastAsiaTheme="minorEastAsia" w:hAnsiTheme="minorEastAsia"/>
          <w:b/>
          <w:sz w:val="28"/>
          <w:szCs w:val="28"/>
        </w:rPr>
      </w:pPr>
    </w:p>
    <w:p w:rsidR="008768CC" w:rsidRDefault="008768CC" w:rsidP="008768CC">
      <w:pPr>
        <w:widowControl w:val="0"/>
        <w:spacing w:line="500" w:lineRule="exact"/>
        <w:ind w:firstLineChars="0" w:firstLine="0"/>
        <w:jc w:val="left"/>
        <w:rPr>
          <w:rFonts w:ascii="黑体" w:eastAsia="黑体" w:hAnsi="黑体"/>
          <w:b/>
          <w:sz w:val="48"/>
          <w:szCs w:val="28"/>
        </w:rPr>
      </w:pPr>
    </w:p>
    <w:p w:rsidR="008768CC" w:rsidRDefault="008768CC" w:rsidP="008768CC">
      <w:pPr>
        <w:widowControl w:val="0"/>
        <w:spacing w:line="500" w:lineRule="exact"/>
        <w:ind w:firstLineChars="0" w:firstLine="0"/>
        <w:jc w:val="center"/>
        <w:rPr>
          <w:rFonts w:ascii="黑体" w:eastAsia="黑体" w:hAnsi="黑体"/>
          <w:b/>
          <w:sz w:val="44"/>
          <w:szCs w:val="44"/>
        </w:rPr>
      </w:pPr>
      <w:r>
        <w:rPr>
          <w:rFonts w:ascii="黑体" w:eastAsia="黑体" w:hAnsi="黑体" w:hint="eastAsia"/>
          <w:b/>
          <w:sz w:val="44"/>
          <w:szCs w:val="44"/>
        </w:rPr>
        <w:t>广东信宜农村商业银行股份有限公司</w:t>
      </w:r>
    </w:p>
    <w:p w:rsidR="008768CC" w:rsidRDefault="008768CC" w:rsidP="008768CC">
      <w:pPr>
        <w:widowControl w:val="0"/>
        <w:spacing w:line="500" w:lineRule="exact"/>
        <w:ind w:firstLineChars="0" w:firstLine="0"/>
        <w:jc w:val="center"/>
        <w:rPr>
          <w:rFonts w:ascii="黑体" w:eastAsia="黑体" w:hAnsi="黑体"/>
          <w:b/>
          <w:sz w:val="44"/>
          <w:szCs w:val="44"/>
        </w:rPr>
      </w:pPr>
      <w:r>
        <w:rPr>
          <w:rFonts w:ascii="黑体" w:eastAsia="黑体" w:hAnsi="黑体" w:hint="eastAsia"/>
          <w:b/>
          <w:sz w:val="44"/>
          <w:szCs w:val="44"/>
        </w:rPr>
        <w:t>2023年年度报告</w:t>
      </w:r>
    </w:p>
    <w:p w:rsidR="008768CC" w:rsidRDefault="008768CC" w:rsidP="008768CC">
      <w:pPr>
        <w:widowControl w:val="0"/>
        <w:spacing w:line="500" w:lineRule="exact"/>
        <w:ind w:firstLineChars="0" w:firstLine="0"/>
        <w:jc w:val="left"/>
        <w:rPr>
          <w:rFonts w:asciiTheme="minorEastAsia" w:eastAsiaTheme="minorEastAsia" w:hAnsiTheme="minorEastAsia"/>
          <w:b/>
          <w:sz w:val="28"/>
          <w:szCs w:val="28"/>
        </w:rPr>
      </w:pPr>
    </w:p>
    <w:p w:rsidR="008768CC" w:rsidRDefault="008768CC" w:rsidP="008768CC">
      <w:pPr>
        <w:widowControl w:val="0"/>
        <w:spacing w:line="500" w:lineRule="exact"/>
        <w:ind w:firstLineChars="0" w:firstLine="0"/>
        <w:jc w:val="left"/>
        <w:rPr>
          <w:rFonts w:asciiTheme="minorEastAsia" w:eastAsiaTheme="minorEastAsia" w:hAnsiTheme="minorEastAsia"/>
          <w:b/>
          <w:sz w:val="28"/>
          <w:szCs w:val="28"/>
        </w:rPr>
      </w:pPr>
    </w:p>
    <w:p w:rsidR="008768CC" w:rsidRDefault="008768CC" w:rsidP="008768CC">
      <w:pPr>
        <w:widowControl w:val="0"/>
        <w:spacing w:line="500" w:lineRule="exact"/>
        <w:ind w:firstLineChars="0" w:firstLine="0"/>
        <w:jc w:val="left"/>
        <w:rPr>
          <w:rFonts w:asciiTheme="minorEastAsia" w:eastAsiaTheme="minorEastAsia" w:hAnsiTheme="minorEastAsia"/>
          <w:b/>
          <w:sz w:val="28"/>
          <w:szCs w:val="28"/>
        </w:rPr>
      </w:pPr>
    </w:p>
    <w:p w:rsidR="008768CC" w:rsidRDefault="008768CC" w:rsidP="008768CC">
      <w:pPr>
        <w:widowControl w:val="0"/>
        <w:spacing w:line="500" w:lineRule="exact"/>
        <w:ind w:firstLineChars="0" w:firstLine="0"/>
        <w:jc w:val="left"/>
        <w:rPr>
          <w:rFonts w:asciiTheme="minorEastAsia" w:eastAsiaTheme="minorEastAsia" w:hAnsiTheme="minorEastAsia"/>
          <w:b/>
          <w:sz w:val="28"/>
          <w:szCs w:val="28"/>
        </w:rPr>
      </w:pPr>
    </w:p>
    <w:p w:rsidR="008768CC" w:rsidRDefault="008768CC" w:rsidP="008768CC">
      <w:pPr>
        <w:widowControl w:val="0"/>
        <w:spacing w:line="500" w:lineRule="exact"/>
        <w:ind w:firstLineChars="0" w:firstLine="0"/>
        <w:jc w:val="left"/>
        <w:rPr>
          <w:rFonts w:asciiTheme="minorEastAsia" w:eastAsiaTheme="minorEastAsia" w:hAnsiTheme="minorEastAsia"/>
          <w:b/>
          <w:sz w:val="28"/>
          <w:szCs w:val="28"/>
        </w:rPr>
      </w:pPr>
    </w:p>
    <w:p w:rsidR="008768CC" w:rsidRDefault="008768CC" w:rsidP="008768CC">
      <w:pPr>
        <w:widowControl w:val="0"/>
        <w:spacing w:line="500" w:lineRule="exact"/>
        <w:ind w:firstLineChars="0" w:firstLine="0"/>
        <w:jc w:val="left"/>
        <w:rPr>
          <w:rFonts w:asciiTheme="minorEastAsia" w:eastAsiaTheme="minorEastAsia" w:hAnsiTheme="minorEastAsia"/>
          <w:b/>
          <w:sz w:val="28"/>
          <w:szCs w:val="28"/>
        </w:rPr>
        <w:sectPr w:rsidR="008768CC">
          <w:headerReference w:type="even" r:id="rId8"/>
          <w:headerReference w:type="default" r:id="rId9"/>
          <w:footerReference w:type="even" r:id="rId10"/>
          <w:footerReference w:type="default" r:id="rId11"/>
          <w:headerReference w:type="first" r:id="rId12"/>
          <w:footerReference w:type="first" r:id="rId13"/>
          <w:pgSz w:w="11906" w:h="16838"/>
          <w:pgMar w:top="1440" w:right="1474" w:bottom="1440" w:left="1531" w:header="567" w:footer="992" w:gutter="0"/>
          <w:cols w:space="720"/>
          <w:docGrid w:type="lines" w:linePitch="312"/>
        </w:sectPr>
      </w:pP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目录</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ab/>
        <w:t>公司简介</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ab/>
        <w:t>释义</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3</w:t>
      </w:r>
      <w:r>
        <w:rPr>
          <w:rFonts w:asciiTheme="minorEastAsia" w:eastAsiaTheme="minorEastAsia" w:hAnsiTheme="minorEastAsia" w:hint="eastAsia"/>
          <w:b/>
          <w:sz w:val="24"/>
          <w:szCs w:val="24"/>
        </w:rPr>
        <w:tab/>
        <w:t>重要提示</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4</w:t>
      </w:r>
      <w:r>
        <w:rPr>
          <w:rFonts w:asciiTheme="minorEastAsia" w:eastAsiaTheme="minorEastAsia" w:hAnsiTheme="minorEastAsia" w:hint="eastAsia"/>
          <w:b/>
          <w:sz w:val="24"/>
          <w:szCs w:val="24"/>
        </w:rPr>
        <w:tab/>
        <w:t>2023年度大事记</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5</w:t>
      </w:r>
      <w:r>
        <w:rPr>
          <w:rFonts w:asciiTheme="minorEastAsia" w:eastAsiaTheme="minorEastAsia" w:hAnsiTheme="minorEastAsia" w:hint="eastAsia"/>
          <w:b/>
          <w:sz w:val="24"/>
          <w:szCs w:val="24"/>
        </w:rPr>
        <w:tab/>
        <w:t>董事长致辞</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w:t>
      </w:r>
      <w:r>
        <w:rPr>
          <w:rFonts w:asciiTheme="minorEastAsia" w:eastAsiaTheme="minorEastAsia" w:hAnsiTheme="minorEastAsia" w:hint="eastAsia"/>
          <w:b/>
          <w:sz w:val="24"/>
          <w:szCs w:val="24"/>
        </w:rPr>
        <w:tab/>
        <w:t>公司基本情况</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7</w:t>
      </w:r>
      <w:r>
        <w:rPr>
          <w:rFonts w:asciiTheme="minorEastAsia" w:eastAsiaTheme="minorEastAsia" w:hAnsiTheme="minorEastAsia" w:hint="eastAsia"/>
          <w:b/>
          <w:sz w:val="24"/>
          <w:szCs w:val="24"/>
        </w:rPr>
        <w:tab/>
        <w:t>财务概要</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ab/>
        <w:t>1</w:t>
      </w:r>
      <w:r>
        <w:rPr>
          <w:rFonts w:asciiTheme="minorEastAsia" w:eastAsiaTheme="minorEastAsia" w:hAnsiTheme="minorEastAsia" w:hint="eastAsia"/>
          <w:sz w:val="24"/>
          <w:szCs w:val="24"/>
        </w:rPr>
        <w:tab/>
        <w:t>报告期内主要财务数据</w:t>
      </w:r>
      <w:r>
        <w:rPr>
          <w:rFonts w:asciiTheme="minorEastAsia" w:eastAsiaTheme="minorEastAsia" w:hAnsiTheme="minorEastAsia"/>
          <w:sz w:val="24"/>
          <w:szCs w:val="24"/>
        </w:rPr>
        <w:tab/>
      </w:r>
    </w:p>
    <w:p w:rsidR="008768CC" w:rsidRDefault="008768CC" w:rsidP="008768CC">
      <w:pPr>
        <w:widowControl w:val="0"/>
        <w:spacing w:line="5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报告期末前三年主要会计数据和财务指标</w:t>
      </w:r>
    </w:p>
    <w:p w:rsidR="008768CC" w:rsidRDefault="008768CC" w:rsidP="008768CC">
      <w:pPr>
        <w:widowControl w:val="0"/>
        <w:spacing w:line="5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ab/>
        <w:t>3</w:t>
      </w:r>
      <w:r>
        <w:rPr>
          <w:rFonts w:asciiTheme="minorEastAsia" w:eastAsiaTheme="minorEastAsia" w:hAnsiTheme="minorEastAsia" w:hint="eastAsia"/>
          <w:sz w:val="24"/>
          <w:szCs w:val="24"/>
        </w:rPr>
        <w:tab/>
        <w:t>报告期末前三年补充财务指标</w:t>
      </w:r>
    </w:p>
    <w:p w:rsidR="008768CC" w:rsidRDefault="008768CC" w:rsidP="008768CC">
      <w:pPr>
        <w:widowControl w:val="0"/>
        <w:spacing w:line="5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ab/>
        <w:t>4</w:t>
      </w:r>
      <w:r>
        <w:rPr>
          <w:rFonts w:asciiTheme="minorEastAsia" w:eastAsiaTheme="minorEastAsia" w:hAnsiTheme="minorEastAsia" w:hint="eastAsia"/>
          <w:sz w:val="24"/>
          <w:szCs w:val="24"/>
        </w:rPr>
        <w:tab/>
        <w:t>报告期末主要业务信息及数据</w:t>
      </w:r>
    </w:p>
    <w:p w:rsidR="008768CC" w:rsidRDefault="008768CC" w:rsidP="008768CC">
      <w:pPr>
        <w:widowControl w:val="0"/>
        <w:spacing w:line="5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ab/>
        <w:t>5</w:t>
      </w:r>
      <w:r>
        <w:rPr>
          <w:rFonts w:asciiTheme="minorEastAsia" w:eastAsiaTheme="minorEastAsia" w:hAnsiTheme="minorEastAsia" w:hint="eastAsia"/>
          <w:sz w:val="24"/>
          <w:szCs w:val="24"/>
        </w:rPr>
        <w:tab/>
        <w:t>报告期末资本构成及变化情况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ab/>
        <w:t>6</w:t>
      </w:r>
      <w:r>
        <w:rPr>
          <w:rFonts w:asciiTheme="minorEastAsia" w:eastAsiaTheme="minorEastAsia" w:hAnsiTheme="minorEastAsia" w:hint="eastAsia"/>
          <w:sz w:val="24"/>
          <w:szCs w:val="24"/>
        </w:rPr>
        <w:tab/>
        <w:t>报告期内所有者权益变动情况</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8</w:t>
      </w:r>
      <w:r>
        <w:rPr>
          <w:rFonts w:asciiTheme="minorEastAsia" w:eastAsiaTheme="minorEastAsia" w:hAnsiTheme="minorEastAsia" w:hint="eastAsia"/>
          <w:b/>
          <w:sz w:val="24"/>
          <w:szCs w:val="24"/>
        </w:rPr>
        <w:tab/>
        <w:t>管理</w:t>
      </w:r>
      <w:proofErr w:type="gramStart"/>
      <w:r>
        <w:rPr>
          <w:rFonts w:asciiTheme="minorEastAsia" w:eastAsiaTheme="minorEastAsia" w:hAnsiTheme="minorEastAsia" w:hint="eastAsia"/>
          <w:b/>
          <w:sz w:val="24"/>
          <w:szCs w:val="24"/>
        </w:rPr>
        <w:t>层讨论</w:t>
      </w:r>
      <w:proofErr w:type="gramEnd"/>
      <w:r>
        <w:rPr>
          <w:rFonts w:asciiTheme="minorEastAsia" w:eastAsiaTheme="minorEastAsia" w:hAnsiTheme="minorEastAsia" w:hint="eastAsia"/>
          <w:b/>
          <w:sz w:val="24"/>
          <w:szCs w:val="24"/>
        </w:rPr>
        <w:t>与分析</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ab/>
        <w:t>1</w:t>
      </w:r>
      <w:r>
        <w:rPr>
          <w:rFonts w:asciiTheme="minorEastAsia" w:eastAsiaTheme="minorEastAsia" w:hAnsiTheme="minorEastAsia" w:hint="eastAsia"/>
          <w:sz w:val="24"/>
          <w:szCs w:val="24"/>
        </w:rPr>
        <w:tab/>
        <w:t>经营情况回顾</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财务报表分析</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ab/>
        <w:t>3</w:t>
      </w:r>
      <w:r>
        <w:rPr>
          <w:rFonts w:asciiTheme="minorEastAsia" w:eastAsiaTheme="minorEastAsia" w:hAnsiTheme="minorEastAsia" w:hint="eastAsia"/>
          <w:sz w:val="24"/>
          <w:szCs w:val="24"/>
        </w:rPr>
        <w:tab/>
        <w:t>业务综述</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ab/>
        <w:t>4</w:t>
      </w:r>
      <w:r>
        <w:rPr>
          <w:rFonts w:asciiTheme="minorEastAsia" w:eastAsiaTheme="minorEastAsia" w:hAnsiTheme="minorEastAsia" w:hint="eastAsia"/>
          <w:sz w:val="24"/>
          <w:szCs w:val="24"/>
        </w:rPr>
        <w:tab/>
        <w:t>风险管理</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ab/>
        <w:t>5</w:t>
      </w:r>
      <w:r>
        <w:rPr>
          <w:rFonts w:asciiTheme="minorEastAsia" w:eastAsiaTheme="minorEastAsia" w:hAnsiTheme="minorEastAsia" w:hint="eastAsia"/>
          <w:sz w:val="24"/>
          <w:szCs w:val="24"/>
        </w:rPr>
        <w:tab/>
        <w:t>内部控制</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9</w:t>
      </w:r>
      <w:proofErr w:type="gramStart"/>
      <w:r>
        <w:rPr>
          <w:rFonts w:asciiTheme="minorEastAsia" w:eastAsiaTheme="minorEastAsia" w:hAnsiTheme="minorEastAsia" w:hint="eastAsia"/>
          <w:b/>
          <w:sz w:val="24"/>
          <w:szCs w:val="24"/>
        </w:rPr>
        <w:tab/>
        <w:t>股本</w:t>
      </w:r>
      <w:proofErr w:type="gramEnd"/>
      <w:r>
        <w:rPr>
          <w:rFonts w:asciiTheme="minorEastAsia" w:eastAsiaTheme="minorEastAsia" w:hAnsiTheme="minorEastAsia" w:hint="eastAsia"/>
          <w:b/>
          <w:sz w:val="24"/>
          <w:szCs w:val="24"/>
        </w:rPr>
        <w:t>结构及股东情况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ab/>
        <w:t>1</w:t>
      </w:r>
      <w:proofErr w:type="gramStart"/>
      <w:r>
        <w:rPr>
          <w:rFonts w:asciiTheme="minorEastAsia" w:eastAsiaTheme="minorEastAsia" w:hAnsiTheme="minorEastAsia" w:hint="eastAsia"/>
          <w:sz w:val="24"/>
          <w:szCs w:val="24"/>
        </w:rPr>
        <w:tab/>
        <w:t>股本</w:t>
      </w:r>
      <w:proofErr w:type="gramEnd"/>
      <w:r>
        <w:rPr>
          <w:rFonts w:asciiTheme="minorEastAsia" w:eastAsiaTheme="minorEastAsia" w:hAnsiTheme="minorEastAsia" w:hint="eastAsia"/>
          <w:sz w:val="24"/>
          <w:szCs w:val="24"/>
        </w:rPr>
        <w:t>变动情况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股东情况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ab/>
        <w:t>3</w:t>
      </w:r>
      <w:r>
        <w:rPr>
          <w:rFonts w:asciiTheme="minorEastAsia" w:eastAsiaTheme="minorEastAsia" w:hAnsiTheme="minorEastAsia" w:hint="eastAsia"/>
          <w:sz w:val="24"/>
          <w:szCs w:val="24"/>
        </w:rPr>
        <w:tab/>
        <w:t>关联交易情况</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10</w:t>
      </w:r>
      <w:r>
        <w:rPr>
          <w:rFonts w:asciiTheme="minorEastAsia" w:eastAsiaTheme="minorEastAsia" w:hAnsiTheme="minorEastAsia" w:hint="eastAsia"/>
          <w:b/>
          <w:sz w:val="24"/>
          <w:szCs w:val="24"/>
        </w:rPr>
        <w:tab/>
        <w:t>董事、监事、高级管理层和员工情况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ab/>
        <w:t>1</w:t>
      </w:r>
      <w:r>
        <w:rPr>
          <w:rFonts w:asciiTheme="minorEastAsia" w:eastAsiaTheme="minorEastAsia" w:hAnsiTheme="minorEastAsia" w:hint="eastAsia"/>
          <w:sz w:val="24"/>
          <w:szCs w:val="24"/>
        </w:rPr>
        <w:tab/>
        <w:t>董事、监事、高级管理层情况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10</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董事、监事、高级管理人员简历及任职情况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ab/>
        <w:t>3</w:t>
      </w:r>
      <w:r>
        <w:rPr>
          <w:rFonts w:asciiTheme="minorEastAsia" w:eastAsiaTheme="minorEastAsia" w:hAnsiTheme="minorEastAsia" w:hint="eastAsia"/>
          <w:sz w:val="24"/>
          <w:szCs w:val="24"/>
        </w:rPr>
        <w:tab/>
        <w:t>董事会、监事会、高级管理层人员变动情况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ab/>
        <w:t>4</w:t>
      </w:r>
      <w:r>
        <w:rPr>
          <w:rFonts w:asciiTheme="minorEastAsia" w:eastAsiaTheme="minorEastAsia" w:hAnsiTheme="minorEastAsia" w:hint="eastAsia"/>
          <w:sz w:val="24"/>
          <w:szCs w:val="24"/>
        </w:rPr>
        <w:tab/>
        <w:t>年度薪酬及激励情况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ab/>
        <w:t>5</w:t>
      </w:r>
      <w:r>
        <w:rPr>
          <w:rFonts w:asciiTheme="minorEastAsia" w:eastAsiaTheme="minorEastAsia" w:hAnsiTheme="minorEastAsia" w:hint="eastAsia"/>
          <w:sz w:val="24"/>
          <w:szCs w:val="24"/>
        </w:rPr>
        <w:tab/>
        <w:t>本行员工情况</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11</w:t>
      </w:r>
      <w:r>
        <w:rPr>
          <w:rFonts w:asciiTheme="minorEastAsia" w:eastAsiaTheme="minorEastAsia" w:hAnsiTheme="minorEastAsia" w:hint="eastAsia"/>
          <w:b/>
          <w:sz w:val="24"/>
          <w:szCs w:val="24"/>
        </w:rPr>
        <w:tab/>
        <w:t>公司治理情况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ab/>
        <w:t>1</w:t>
      </w:r>
      <w:r>
        <w:rPr>
          <w:rFonts w:asciiTheme="minorEastAsia" w:eastAsiaTheme="minorEastAsia" w:hAnsiTheme="minorEastAsia" w:hint="eastAsia"/>
          <w:sz w:val="24"/>
          <w:szCs w:val="24"/>
        </w:rPr>
        <w:tab/>
        <w:t>公司治理说明</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董事会及各专门委员会</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ab/>
        <w:t>3</w:t>
      </w:r>
      <w:r>
        <w:rPr>
          <w:rFonts w:asciiTheme="minorEastAsia" w:eastAsiaTheme="minorEastAsia" w:hAnsiTheme="minorEastAsia" w:hint="eastAsia"/>
          <w:sz w:val="24"/>
          <w:szCs w:val="24"/>
        </w:rPr>
        <w:tab/>
        <w:t>监事会及各专门委员会</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ab/>
        <w:t>4</w:t>
      </w:r>
      <w:r>
        <w:rPr>
          <w:rFonts w:asciiTheme="minorEastAsia" w:eastAsiaTheme="minorEastAsia" w:hAnsiTheme="minorEastAsia" w:hint="eastAsia"/>
          <w:sz w:val="24"/>
          <w:szCs w:val="24"/>
        </w:rPr>
        <w:tab/>
        <w:t>组织架构图</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12</w:t>
      </w:r>
      <w:r>
        <w:rPr>
          <w:rFonts w:asciiTheme="minorEastAsia" w:eastAsiaTheme="minorEastAsia" w:hAnsiTheme="minorEastAsia" w:hint="eastAsia"/>
          <w:b/>
          <w:sz w:val="24"/>
          <w:szCs w:val="24"/>
        </w:rPr>
        <w:tab/>
        <w:t>股东大会情况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ab/>
        <w:t>1</w:t>
      </w:r>
      <w:r>
        <w:rPr>
          <w:rFonts w:asciiTheme="minorEastAsia" w:eastAsiaTheme="minorEastAsia" w:hAnsiTheme="minorEastAsia" w:hint="eastAsia"/>
          <w:sz w:val="24"/>
          <w:szCs w:val="24"/>
        </w:rPr>
        <w:tab/>
        <w:t>年度股东大会情况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临时股东大会情况</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13</w:t>
      </w:r>
      <w:r>
        <w:rPr>
          <w:rFonts w:asciiTheme="minorEastAsia" w:eastAsiaTheme="minorEastAsia" w:hAnsiTheme="minorEastAsia" w:hint="eastAsia"/>
          <w:b/>
          <w:sz w:val="24"/>
          <w:szCs w:val="24"/>
        </w:rPr>
        <w:tab/>
        <w:t>董事会报告</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ab/>
        <w:t>1</w:t>
      </w:r>
      <w:r>
        <w:rPr>
          <w:rFonts w:asciiTheme="minorEastAsia" w:eastAsiaTheme="minorEastAsia" w:hAnsiTheme="minorEastAsia" w:hint="eastAsia"/>
          <w:sz w:val="24"/>
          <w:szCs w:val="24"/>
        </w:rPr>
        <w:tab/>
        <w:t>董事会会议情况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董事会对股东大会决议的执行情况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ab/>
        <w:t>3</w:t>
      </w:r>
      <w:r>
        <w:rPr>
          <w:rFonts w:asciiTheme="minorEastAsia" w:eastAsiaTheme="minorEastAsia" w:hAnsiTheme="minorEastAsia" w:hint="eastAsia"/>
          <w:sz w:val="24"/>
          <w:szCs w:val="24"/>
        </w:rPr>
        <w:tab/>
        <w:t>董事会工作情况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ab/>
        <w:t>4</w:t>
      </w:r>
      <w:r>
        <w:rPr>
          <w:rFonts w:asciiTheme="minorEastAsia" w:eastAsiaTheme="minorEastAsia" w:hAnsiTheme="minorEastAsia" w:hint="eastAsia"/>
          <w:sz w:val="24"/>
          <w:szCs w:val="24"/>
        </w:rPr>
        <w:tab/>
        <w:t>独立董事的独立性以及履职情况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ab/>
        <w:t>5</w:t>
      </w:r>
      <w:r>
        <w:rPr>
          <w:rFonts w:asciiTheme="minorEastAsia" w:eastAsiaTheme="minorEastAsia" w:hAnsiTheme="minorEastAsia" w:hint="eastAsia"/>
          <w:sz w:val="24"/>
          <w:szCs w:val="24"/>
        </w:rPr>
        <w:tab/>
        <w:t>2023年度利润分配方案</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ab/>
        <w:t>6</w:t>
      </w:r>
      <w:r>
        <w:rPr>
          <w:rFonts w:asciiTheme="minorEastAsia" w:eastAsiaTheme="minorEastAsia" w:hAnsiTheme="minorEastAsia" w:hint="eastAsia"/>
          <w:sz w:val="24"/>
          <w:szCs w:val="24"/>
        </w:rPr>
        <w:tab/>
        <w:t>主要控股公司及参股公司的情况</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14</w:t>
      </w:r>
      <w:r>
        <w:rPr>
          <w:rFonts w:asciiTheme="minorEastAsia" w:eastAsiaTheme="minorEastAsia" w:hAnsiTheme="minorEastAsia" w:hint="eastAsia"/>
          <w:b/>
          <w:sz w:val="24"/>
          <w:szCs w:val="24"/>
        </w:rPr>
        <w:tab/>
        <w:t>监事会报告</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ab/>
        <w:t>1</w:t>
      </w:r>
      <w:r>
        <w:rPr>
          <w:rFonts w:asciiTheme="minorEastAsia" w:eastAsiaTheme="minorEastAsia" w:hAnsiTheme="minorEastAsia" w:hint="eastAsia"/>
          <w:sz w:val="24"/>
          <w:szCs w:val="24"/>
        </w:rPr>
        <w:tab/>
        <w:t>监事会会议情况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外部监事履职情况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ab/>
        <w:t>3</w:t>
      </w:r>
      <w:r>
        <w:rPr>
          <w:rFonts w:asciiTheme="minorEastAsia" w:eastAsiaTheme="minorEastAsia" w:hAnsiTheme="minorEastAsia" w:hint="eastAsia"/>
          <w:sz w:val="24"/>
          <w:szCs w:val="24"/>
        </w:rPr>
        <w:tab/>
        <w:t>监事会工作情况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ab/>
        <w:t>4</w:t>
      </w:r>
      <w:r>
        <w:rPr>
          <w:rFonts w:asciiTheme="minorEastAsia" w:eastAsiaTheme="minorEastAsia" w:hAnsiTheme="minorEastAsia" w:hint="eastAsia"/>
          <w:sz w:val="24"/>
          <w:szCs w:val="24"/>
        </w:rPr>
        <w:tab/>
        <w:t>监事会就有关事项发表的独立意见</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15</w:t>
      </w:r>
      <w:r>
        <w:rPr>
          <w:rFonts w:asciiTheme="minorEastAsia" w:eastAsiaTheme="minorEastAsia" w:hAnsiTheme="minorEastAsia" w:hint="eastAsia"/>
          <w:b/>
          <w:sz w:val="24"/>
          <w:szCs w:val="24"/>
        </w:rPr>
        <w:tab/>
        <w:t>重要事项</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ab/>
        <w:t>1</w:t>
      </w:r>
      <w:r>
        <w:rPr>
          <w:rFonts w:asciiTheme="minorEastAsia" w:eastAsiaTheme="minorEastAsia" w:hAnsiTheme="minorEastAsia" w:hint="eastAsia"/>
          <w:sz w:val="24"/>
          <w:szCs w:val="24"/>
        </w:rPr>
        <w:tab/>
        <w:t>增加或减少注册资本、分立合并事项</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聘用、解聘会计师事务所情况</w:t>
      </w:r>
    </w:p>
    <w:p w:rsidR="008768CC" w:rsidRDefault="008768CC" w:rsidP="008768CC">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15</w:t>
      </w:r>
      <w:r>
        <w:rPr>
          <w:rFonts w:asciiTheme="minorEastAsia" w:eastAsiaTheme="minorEastAsia" w:hAnsiTheme="minorEastAsia" w:hint="eastAsia"/>
          <w:sz w:val="24"/>
          <w:szCs w:val="24"/>
        </w:rPr>
        <w:tab/>
        <w:t>3</w:t>
      </w:r>
      <w:r>
        <w:rPr>
          <w:rFonts w:asciiTheme="minorEastAsia" w:eastAsiaTheme="minorEastAsia" w:hAnsiTheme="minorEastAsia" w:hint="eastAsia"/>
          <w:sz w:val="24"/>
          <w:szCs w:val="24"/>
        </w:rPr>
        <w:tab/>
        <w:t>重大诉讼、仲裁事项</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16</w:t>
      </w:r>
      <w:r>
        <w:rPr>
          <w:rFonts w:asciiTheme="minorEastAsia" w:eastAsiaTheme="minorEastAsia" w:hAnsiTheme="minorEastAsia" w:hint="eastAsia"/>
          <w:b/>
          <w:sz w:val="24"/>
          <w:szCs w:val="24"/>
        </w:rPr>
        <w:tab/>
        <w:t>企业社会责任</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17</w:t>
      </w:r>
      <w:r>
        <w:rPr>
          <w:rFonts w:asciiTheme="minorEastAsia" w:eastAsiaTheme="minorEastAsia" w:hAnsiTheme="minorEastAsia" w:hint="eastAsia"/>
          <w:b/>
          <w:sz w:val="24"/>
          <w:szCs w:val="24"/>
        </w:rPr>
        <w:tab/>
        <w:t>2023年度“三农”金融服务报告</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18</w:t>
      </w:r>
      <w:r>
        <w:rPr>
          <w:rFonts w:asciiTheme="minorEastAsia" w:eastAsiaTheme="minorEastAsia" w:hAnsiTheme="minorEastAsia" w:hint="eastAsia"/>
          <w:b/>
          <w:sz w:val="24"/>
          <w:szCs w:val="24"/>
        </w:rPr>
        <w:tab/>
        <w:t>小</w:t>
      </w:r>
      <w:proofErr w:type="gramStart"/>
      <w:r>
        <w:rPr>
          <w:rFonts w:asciiTheme="minorEastAsia" w:eastAsiaTheme="minorEastAsia" w:hAnsiTheme="minorEastAsia" w:hint="eastAsia"/>
          <w:b/>
          <w:sz w:val="24"/>
          <w:szCs w:val="24"/>
        </w:rPr>
        <w:t>微企业</w:t>
      </w:r>
      <w:proofErr w:type="gramEnd"/>
      <w:r>
        <w:rPr>
          <w:rFonts w:asciiTheme="minorEastAsia" w:eastAsiaTheme="minorEastAsia" w:hAnsiTheme="minorEastAsia" w:hint="eastAsia"/>
          <w:b/>
          <w:sz w:val="24"/>
          <w:szCs w:val="24"/>
        </w:rPr>
        <w:t>金融服务情况报告</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19</w:t>
      </w:r>
      <w:r>
        <w:rPr>
          <w:rFonts w:asciiTheme="minorEastAsia" w:eastAsiaTheme="minorEastAsia" w:hAnsiTheme="minorEastAsia" w:hint="eastAsia"/>
          <w:b/>
          <w:sz w:val="24"/>
          <w:szCs w:val="24"/>
        </w:rPr>
        <w:tab/>
        <w:t>金融机构环境信息</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20</w:t>
      </w:r>
      <w:r>
        <w:rPr>
          <w:rFonts w:asciiTheme="minorEastAsia" w:eastAsiaTheme="minorEastAsia" w:hAnsiTheme="minorEastAsia" w:hint="eastAsia"/>
          <w:b/>
          <w:sz w:val="24"/>
          <w:szCs w:val="24"/>
        </w:rPr>
        <w:tab/>
        <w:t>董事会关于本行2023年度报告的确认意见</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21</w:t>
      </w:r>
      <w:r>
        <w:rPr>
          <w:rFonts w:asciiTheme="minorEastAsia" w:eastAsiaTheme="minorEastAsia" w:hAnsiTheme="minorEastAsia" w:hint="eastAsia"/>
          <w:b/>
          <w:sz w:val="24"/>
          <w:szCs w:val="24"/>
        </w:rPr>
        <w:tab/>
        <w:t>备查文件目录</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22</w:t>
      </w:r>
      <w:r>
        <w:rPr>
          <w:rFonts w:asciiTheme="minorEastAsia" w:eastAsiaTheme="minorEastAsia" w:hAnsiTheme="minorEastAsia" w:hint="eastAsia"/>
          <w:b/>
          <w:sz w:val="24"/>
          <w:szCs w:val="24"/>
        </w:rPr>
        <w:tab/>
        <w:t>附件</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sectPr w:rsidR="008768CC">
          <w:pgSz w:w="11906" w:h="16838"/>
          <w:pgMar w:top="1440" w:right="1474" w:bottom="1440" w:left="1531" w:header="567" w:footer="992" w:gutter="0"/>
          <w:cols w:space="720"/>
          <w:docGrid w:type="lines" w:linePitch="312"/>
        </w:sectPr>
      </w:pPr>
    </w:p>
    <w:p w:rsidR="008768CC" w:rsidRDefault="008768CC" w:rsidP="008768CC">
      <w:pPr>
        <w:widowControl w:val="0"/>
        <w:spacing w:line="500" w:lineRule="exact"/>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1.公司简介</w:t>
      </w:r>
    </w:p>
    <w:p w:rsidR="008768CC" w:rsidRDefault="008768CC" w:rsidP="008768CC">
      <w:pPr>
        <w:widowControl w:val="0"/>
        <w:spacing w:line="5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广东信宜农村商业银行股份有限公司（以下简称信宜农商银行）根植本土金融服务70余载，1952年11月成立信宜市第一家信用社，2006年12月成立统一法人的信宜市农村信用合作联社，2017年8月改制为信宜农商银行。作为信宜市地方法人银行，借助信宜市经济社会发展提供的良好环境，主动融入信宜高质量发展大局中，与地方发展同频共振，深入</w:t>
      </w:r>
      <w:proofErr w:type="gramStart"/>
      <w:r>
        <w:rPr>
          <w:rFonts w:asciiTheme="minorEastAsia" w:eastAsiaTheme="minorEastAsia" w:hAnsiTheme="minorEastAsia" w:hint="eastAsia"/>
          <w:sz w:val="24"/>
          <w:szCs w:val="24"/>
        </w:rPr>
        <w:t>践行</w:t>
      </w:r>
      <w:proofErr w:type="gramEnd"/>
      <w:r>
        <w:rPr>
          <w:rFonts w:asciiTheme="minorEastAsia" w:eastAsiaTheme="minorEastAsia" w:hAnsiTheme="minorEastAsia" w:hint="eastAsia"/>
          <w:sz w:val="24"/>
          <w:szCs w:val="24"/>
        </w:rPr>
        <w:t>勤劳金融，把普惠金融惠及到千家万户中去，各项工作呈现不断向好发展态势。</w:t>
      </w:r>
    </w:p>
    <w:p w:rsidR="008768CC" w:rsidRDefault="008768CC" w:rsidP="008768CC">
      <w:pPr>
        <w:spacing w:before="75" w:after="75" w:line="500" w:lineRule="exact"/>
        <w:ind w:firstLineChars="0"/>
        <w:jc w:val="lef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截至2023年12月末，信宜农商银行总资产272.2亿元，比年初增加5.08亿元，增长1.9</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；人民币各项存款余额245.23亿元，比年初增加5.99亿元，增幅2.50</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，存款规模稳步壮大；本外币各项贷款余额</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37.08亿元，比年初增加1.96亿元，增幅1.45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，信贷规模合理增长；人民币存款市场份额44.05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，人民币贷款市场份额38.68</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，存、贷款市场份额继续保持当地金融机构第一位，有效助力地方经济发</w:t>
      </w:r>
      <w:r>
        <w:rPr>
          <w:rFonts w:asciiTheme="minorEastAsia" w:eastAsiaTheme="minorEastAsia" w:hAnsiTheme="minorEastAsia" w:hint="eastAsia"/>
          <w:sz w:val="24"/>
          <w:szCs w:val="24"/>
        </w:rPr>
        <w:t>展。信宜农商银行以服务县域高质量发展为己任，积极扩大普惠金融的惠及面，狠抓金融营商环境优化，在解决农户、商户“融资难、融资贵、融资慢”难题上，不断创新优化涉农金融产品，推出街区居民贷、新市民贷，全面下调“小区业主贷、街区居民贷、住房装修贷、普惠小微贷”贷款利率，有效满足客户群体多元化金融服务需求。积极探索金融服务创新，推进金融创新链条直达消费端，因地制宜推出“信贷夜市”，把握夜间经济的活跃度，提供延时金融服务。抢抓乡村振兴的战略机遇，助力三华李主产区钱排镇打造“山水双合”国家3A旅游景区，助力市区建造“窦州里”商贸一体文化创意街，支持华信高级中学校区建设，成为金融支持“百千万工程”的生动实践。</w:t>
      </w:r>
    </w:p>
    <w:p w:rsidR="008768CC" w:rsidRDefault="008768CC" w:rsidP="008768CC">
      <w:pPr>
        <w:spacing w:line="5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信宜农商银行坚持稳中求进工作总基调，突出高质量发展要求，各项经营管理稳步推进的同时，积极</w:t>
      </w:r>
      <w:proofErr w:type="gramStart"/>
      <w:r>
        <w:rPr>
          <w:rFonts w:asciiTheme="minorEastAsia" w:eastAsiaTheme="minorEastAsia" w:hAnsiTheme="minorEastAsia" w:hint="eastAsia"/>
          <w:sz w:val="24"/>
          <w:szCs w:val="24"/>
        </w:rPr>
        <w:t>践行</w:t>
      </w:r>
      <w:proofErr w:type="gramEnd"/>
      <w:r>
        <w:rPr>
          <w:rFonts w:asciiTheme="minorEastAsia" w:eastAsiaTheme="minorEastAsia" w:hAnsiTheme="minorEastAsia" w:hint="eastAsia"/>
          <w:sz w:val="24"/>
          <w:szCs w:val="24"/>
        </w:rPr>
        <w:t>社会金融责任，曾被定为“广东省文明单位”“茂名市先进集体”“信宜市群众满意单位”“慈孝明星企业”“拥军优抚合作单位”“纳税大户”等；坚守战略定力，助力信宜市乡村振兴、实体经济发展；成立志愿服务队，积极参与植树造林、人居环境整治、献血、</w:t>
      </w:r>
      <w:proofErr w:type="gramStart"/>
      <w:r>
        <w:rPr>
          <w:rFonts w:asciiTheme="minorEastAsia" w:eastAsiaTheme="minorEastAsia" w:hAnsiTheme="minorEastAsia" w:hint="eastAsia"/>
          <w:sz w:val="24"/>
          <w:szCs w:val="24"/>
        </w:rPr>
        <w:t>创文创</w:t>
      </w:r>
      <w:proofErr w:type="gramEnd"/>
      <w:r>
        <w:rPr>
          <w:rFonts w:asciiTheme="minorEastAsia" w:eastAsiaTheme="minorEastAsia" w:hAnsiTheme="minorEastAsia" w:hint="eastAsia"/>
          <w:sz w:val="24"/>
          <w:szCs w:val="24"/>
        </w:rPr>
        <w:t>卫等社会公益活动，用行动</w:t>
      </w:r>
      <w:proofErr w:type="gramStart"/>
      <w:r>
        <w:rPr>
          <w:rFonts w:asciiTheme="minorEastAsia" w:eastAsiaTheme="minorEastAsia" w:hAnsiTheme="minorEastAsia" w:hint="eastAsia"/>
          <w:sz w:val="24"/>
          <w:szCs w:val="24"/>
        </w:rPr>
        <w:t>诠释着</w:t>
      </w:r>
      <w:proofErr w:type="gramEnd"/>
      <w:r>
        <w:rPr>
          <w:rFonts w:asciiTheme="minorEastAsia" w:eastAsiaTheme="minorEastAsia" w:hAnsiTheme="minorEastAsia" w:hint="eastAsia"/>
          <w:sz w:val="24"/>
          <w:szCs w:val="24"/>
        </w:rPr>
        <w:t>“宜金融、宜生活、万事皆宜”的品牌理念。</w:t>
      </w:r>
    </w:p>
    <w:p w:rsidR="008768CC" w:rsidRDefault="008768CC" w:rsidP="008768CC">
      <w:pPr>
        <w:widowControl w:val="0"/>
        <w:spacing w:line="5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未来，信宜农商银行将继续以习近平新时代中国特色社会主义思想为指导，深入</w:t>
      </w:r>
      <w:r>
        <w:rPr>
          <w:rFonts w:asciiTheme="minorEastAsia" w:eastAsiaTheme="minorEastAsia" w:hAnsiTheme="minorEastAsia" w:hint="eastAsia"/>
          <w:sz w:val="24"/>
          <w:szCs w:val="24"/>
        </w:rPr>
        <w:lastRenderedPageBreak/>
        <w:t>贯彻落实党的二十大精神，坚守法治、稳中求进，坚持高质量发展理念，以勤劳金融和“户户通”为抓手，深化改革创新，以政府肯定、监管认可、客户满意、股东放心、员工幸福为目标，全力建设“小而美”农商银行，与地方党委政府、个人和企业客户、股东和全体干部员工一齐发展，努力实现为客户创造价值、为员工谋福利、为股东赢效益、为社会做贡献的使命！</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lastRenderedPageBreak/>
        <w:t>2.释义</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信宜农商银行、本行：广东信宜农村商业银行股份有限公司</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总行：广东信宜农村商业银行股份有限公司总行机关</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监管部门：国家金融监督管理总局茂名监管分局</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省联社：广东省农村信用社联合社</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《公司法》：《中华人民共和国公司法》</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《公司章程》：《广东信宜农村商业银行股份有限公司章程（</w:t>
      </w:r>
      <w:r>
        <w:rPr>
          <w:rFonts w:asciiTheme="minorEastAsia" w:eastAsiaTheme="minorEastAsia" w:hAnsiTheme="minorEastAsia"/>
          <w:sz w:val="24"/>
          <w:szCs w:val="24"/>
        </w:rPr>
        <w:t>20</w:t>
      </w:r>
      <w:r>
        <w:rPr>
          <w:rFonts w:asciiTheme="minorEastAsia" w:eastAsiaTheme="minorEastAsia" w:hAnsiTheme="minorEastAsia" w:hint="eastAsia"/>
          <w:sz w:val="24"/>
          <w:szCs w:val="24"/>
        </w:rPr>
        <w:t>23</w:t>
      </w:r>
      <w:r>
        <w:rPr>
          <w:rFonts w:asciiTheme="minorEastAsia" w:eastAsiaTheme="minorEastAsia" w:hAnsiTheme="minorEastAsia"/>
          <w:sz w:val="24"/>
          <w:szCs w:val="24"/>
        </w:rPr>
        <w:t>年版）》</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董事会：广东信宜农村商业银行股份有限公司第一届董事会（2023年4月27日前）</w:t>
      </w:r>
    </w:p>
    <w:p w:rsidR="008768CC" w:rsidRDefault="008768CC" w:rsidP="008768CC">
      <w:pPr>
        <w:widowControl w:val="0"/>
        <w:spacing w:after="120" w:line="5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广东信宜农村商业银行股份有限公司第二届董事会（2023年4月27日后）</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监事会：广东信宜农村商业银行股份有限公司第一届监事会（2023年4月27日前）</w:t>
      </w:r>
    </w:p>
    <w:p w:rsidR="008768CC" w:rsidRDefault="008768CC" w:rsidP="008768CC">
      <w:pPr>
        <w:widowControl w:val="0"/>
        <w:spacing w:after="120" w:line="5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广东信宜农村商业银行股份有限公司第二届监事会（2023年4月27日后）</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sz w:val="24"/>
          <w:szCs w:val="24"/>
        </w:rPr>
        <w:br w:type="page"/>
      </w:r>
      <w:r>
        <w:rPr>
          <w:rFonts w:asciiTheme="minorEastAsia" w:eastAsiaTheme="minorEastAsia" w:hAnsiTheme="minorEastAsia" w:hint="eastAsia"/>
          <w:b/>
          <w:sz w:val="24"/>
          <w:szCs w:val="24"/>
        </w:rPr>
        <w:lastRenderedPageBreak/>
        <w:t>3.重要提示</w:t>
      </w:r>
    </w:p>
    <w:p w:rsidR="008768CC" w:rsidRDefault="008768CC" w:rsidP="008768CC">
      <w:pPr>
        <w:widowControl w:val="0"/>
        <w:spacing w:line="5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本行董事会、监事会及董事、监事和高级管理人员保证本报告所载资料不存在任何虚假记载、误导性陈述或者重大遗漏，并对其内容的真实性、准确性和完整性承担个别及连带责任。</w:t>
      </w:r>
    </w:p>
    <w:p w:rsidR="008768CC" w:rsidRDefault="008768CC" w:rsidP="008768CC">
      <w:pPr>
        <w:widowControl w:val="0"/>
        <w:spacing w:line="5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本行2023年度财务报告已经广东岭南智华会计师事务所（特殊普通合伙）审计并出具了标准无保留意见的审计报告。</w:t>
      </w:r>
    </w:p>
    <w:p w:rsidR="008768CC" w:rsidRDefault="008768CC" w:rsidP="008768CC">
      <w:pPr>
        <w:widowControl w:val="0"/>
        <w:spacing w:line="5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本报告有关货币金额除特别说明外，均以人民币列示。</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sz w:val="24"/>
          <w:szCs w:val="24"/>
        </w:rPr>
        <w:br w:type="page"/>
      </w:r>
      <w:r>
        <w:rPr>
          <w:rFonts w:asciiTheme="minorEastAsia" w:eastAsiaTheme="minorEastAsia" w:hAnsiTheme="minorEastAsia" w:hint="eastAsia"/>
          <w:b/>
          <w:sz w:val="24"/>
          <w:szCs w:val="24"/>
        </w:rPr>
        <w:lastRenderedPageBreak/>
        <w:t>4.2023年度大事记</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1月</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1月6日，召开2023年度经营发展研讨会。</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1月10日，成立普惠授信审批小组。</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1月11日，与信宜市财政局在总行10楼会议室举办工作交流座谈会。</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1月18日，召开2023年新春宣传营销暨户户</w:t>
      </w:r>
      <w:proofErr w:type="gramStart"/>
      <w:r>
        <w:rPr>
          <w:rFonts w:asciiTheme="minorEastAsia" w:eastAsiaTheme="minorEastAsia" w:hAnsiTheme="minorEastAsia" w:hint="eastAsia"/>
          <w:sz w:val="24"/>
          <w:szCs w:val="24"/>
        </w:rPr>
        <w:t>通推进</w:t>
      </w:r>
      <w:proofErr w:type="gramEnd"/>
      <w:r>
        <w:rPr>
          <w:rFonts w:asciiTheme="minorEastAsia" w:eastAsiaTheme="minorEastAsia" w:hAnsiTheme="minorEastAsia" w:hint="eastAsia"/>
          <w:sz w:val="24"/>
          <w:szCs w:val="24"/>
        </w:rPr>
        <w:t>工作部署会议（视频）。</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2月</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2月16日，召开2022年度信宜农商银行领导班子民主生活会。</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2月23日，召开服务地方高质量发展动员大会。</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2月底，荣获“茂名市2021-2022年度金融消费权益保护先进单位”。</w:t>
      </w:r>
    </w:p>
    <w:p w:rsidR="008768CC" w:rsidRDefault="008768CC" w:rsidP="008768CC">
      <w:pPr>
        <w:widowControl w:val="0"/>
        <w:spacing w:line="500" w:lineRule="exact"/>
        <w:ind w:firstLineChars="0" w:firstLine="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3月</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3月15日，联合人行信宜市支行在总行营业部门前举办3•15金融知识宣传活动。</w:t>
      </w:r>
    </w:p>
    <w:p w:rsidR="008768CC" w:rsidRDefault="008768CC" w:rsidP="008768CC">
      <w:pPr>
        <w:widowControl w:val="0"/>
        <w:spacing w:line="500" w:lineRule="exact"/>
        <w:ind w:firstLineChars="0" w:firstLine="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4月</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4月3日，地方国有企业信宜市信</w:t>
      </w:r>
      <w:proofErr w:type="gramStart"/>
      <w:r>
        <w:rPr>
          <w:rFonts w:asciiTheme="minorEastAsia" w:eastAsiaTheme="minorEastAsia" w:hAnsiTheme="minorEastAsia" w:hint="eastAsia"/>
          <w:sz w:val="24"/>
          <w:szCs w:val="24"/>
        </w:rPr>
        <w:t>业产业</w:t>
      </w:r>
      <w:proofErr w:type="gramEnd"/>
      <w:r>
        <w:rPr>
          <w:rFonts w:asciiTheme="minorEastAsia" w:eastAsiaTheme="minorEastAsia" w:hAnsiTheme="minorEastAsia" w:hint="eastAsia"/>
          <w:sz w:val="24"/>
          <w:szCs w:val="24"/>
        </w:rPr>
        <w:t>和工业园投资有限公司成功入股信宜农商银行，并成为第一大股东。</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4月16日，召开学习贯彻习近平新时代中国特色社会主义思想主题教育动员部署会（视频）。</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4月27日，2022年度股东大会暨换届选举会议顺利召开，圆满完成董监事会换届选举工作。</w:t>
      </w:r>
    </w:p>
    <w:p w:rsidR="008768CC" w:rsidRDefault="008768CC" w:rsidP="008768CC">
      <w:pPr>
        <w:widowControl w:val="0"/>
        <w:spacing w:line="500" w:lineRule="exact"/>
        <w:ind w:firstLineChars="0" w:firstLine="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5月</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5月4日，获得省联社团委授予的2022-2023年度“五四红旗团（总）支部”荣誉称号。</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5月9日，举办学习贯彻习近平新时代中国特色社会主义思想主题教育读书班。</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5月15日，佛山审计中心审计组到信宜农商银行开展贯彻执行中央及省委重大战略安排情况审计工作。</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5月19日，召开2023年内控合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管理提升年</w:t>
      </w:r>
      <w:proofErr w:type="gramStart"/>
      <w:r>
        <w:rPr>
          <w:rFonts w:asciiTheme="minorEastAsia" w:eastAsiaTheme="minorEastAsia" w:hAnsiTheme="minorEastAsia" w:hint="eastAsia"/>
          <w:sz w:val="24"/>
          <w:szCs w:val="24"/>
        </w:rPr>
        <w:t>暨案件</w:t>
      </w:r>
      <w:proofErr w:type="gramEnd"/>
      <w:r>
        <w:rPr>
          <w:rFonts w:asciiTheme="minorEastAsia" w:eastAsiaTheme="minorEastAsia" w:hAnsiTheme="minorEastAsia" w:hint="eastAsia"/>
          <w:sz w:val="24"/>
          <w:szCs w:val="24"/>
        </w:rPr>
        <w:t>防控工作会议。</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5月29日，召开农村金融（普惠）户户通工作推进会议。</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5月29日，举办“六一”亲子趣味活动。</w:t>
      </w:r>
    </w:p>
    <w:p w:rsidR="008768CC" w:rsidRDefault="008768CC" w:rsidP="008768CC">
      <w:pPr>
        <w:widowControl w:val="0"/>
        <w:spacing w:line="500" w:lineRule="exact"/>
        <w:ind w:firstLineChars="0" w:firstLine="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6月</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6月5日，免去彭旺同志信宜农商银行党委委员职务。</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6月6日，省联社党委专项一线监督检查第二组到信宜农商银行开展“28条”专项一线监督检查工作。</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6月15日，解聘彭旺同志广东信宜农村商业银行股份有限公司副行长职务。</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6月20日，举办重大事故隐患排查整治暨突发事件应急处置培训（视频）。</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6月27日，党委班子开展“七一”走访慰问老党员和困难党员活动。</w:t>
      </w:r>
    </w:p>
    <w:p w:rsidR="008768CC" w:rsidRDefault="008768CC" w:rsidP="008768CC">
      <w:pPr>
        <w:widowControl w:val="0"/>
        <w:spacing w:line="500" w:lineRule="exact"/>
        <w:ind w:firstLineChars="0" w:firstLine="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7月</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7月18日，召开党委学习贯彻习近平新时代中国特色社会主义思想主题教育调研成果交流会。</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7月26日，举办“强合力，建新功”职工趣味运动会。</w:t>
      </w:r>
    </w:p>
    <w:p w:rsidR="008768CC" w:rsidRDefault="008768CC" w:rsidP="008768CC">
      <w:pPr>
        <w:widowControl w:val="0"/>
        <w:spacing w:line="500" w:lineRule="exact"/>
        <w:ind w:firstLineChars="0" w:firstLine="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8月</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8月31日，召开党委学习贯彻习近平新时代中国特色社会主义思想主题教育专题民主生活会。</w:t>
      </w:r>
    </w:p>
    <w:p w:rsidR="008768CC" w:rsidRDefault="008768CC" w:rsidP="008768CC">
      <w:pPr>
        <w:widowControl w:val="0"/>
        <w:spacing w:line="500" w:lineRule="exact"/>
        <w:ind w:firstLineChars="0" w:firstLine="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10月</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10月17日，组织全体中层干部前往信宜市教育城初中部廉政教育基地开展2023年“清廉金融文化建设月”廉政教育活动。</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10月19日，举办学习贯彻习近平新时代中国特色社会主义思想宣讲会暨2023年党员培训班（视频）和2023年意识形态专题讲座（视频）。</w:t>
      </w:r>
    </w:p>
    <w:p w:rsidR="008768CC" w:rsidRDefault="008768CC" w:rsidP="008768CC">
      <w:pPr>
        <w:widowControl w:val="0"/>
        <w:spacing w:line="500" w:lineRule="exact"/>
        <w:ind w:firstLineChars="0" w:firstLine="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11月</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11月15日，联合信宜市农业农村局举办信宜市农村产权流转交易管理工作培训暨户户</w:t>
      </w:r>
      <w:proofErr w:type="gramStart"/>
      <w:r>
        <w:rPr>
          <w:rFonts w:asciiTheme="minorEastAsia" w:eastAsiaTheme="minorEastAsia" w:hAnsiTheme="minorEastAsia" w:hint="eastAsia"/>
          <w:sz w:val="24"/>
          <w:szCs w:val="24"/>
        </w:rPr>
        <w:t>通金融</w:t>
      </w:r>
      <w:proofErr w:type="gramEnd"/>
      <w:r>
        <w:rPr>
          <w:rFonts w:asciiTheme="minorEastAsia" w:eastAsiaTheme="minorEastAsia" w:hAnsiTheme="minorEastAsia" w:hint="eastAsia"/>
          <w:sz w:val="24"/>
          <w:szCs w:val="24"/>
        </w:rPr>
        <w:t>专员业务培训班。</w:t>
      </w:r>
    </w:p>
    <w:p w:rsidR="008768CC" w:rsidRDefault="008768CC" w:rsidP="008768CC">
      <w:pPr>
        <w:widowControl w:val="0"/>
        <w:spacing w:line="500" w:lineRule="exact"/>
        <w:ind w:firstLineChars="0" w:firstLine="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12月</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12月8日，免去邢绮君同志信宜农商银行党委委员、纪委书记职务。</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12月28日，解聘邢绮君同志广东信宜农村商业银行股份有限公司第二届监事会主席、职工监事职务。</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5. 董事长致辞</w:t>
      </w:r>
    </w:p>
    <w:p w:rsidR="008768CC" w:rsidRDefault="008768CC" w:rsidP="008768CC">
      <w:pPr>
        <w:widowControl w:val="0"/>
        <w:spacing w:line="500" w:lineRule="exact"/>
        <w:ind w:firstLine="480"/>
        <w:rPr>
          <w:rFonts w:asciiTheme="minorEastAsia" w:eastAsiaTheme="minorEastAsia" w:hAnsiTheme="minorEastAsia"/>
          <w:sz w:val="24"/>
          <w:szCs w:val="24"/>
        </w:rPr>
      </w:pPr>
      <w:r>
        <w:rPr>
          <w:rFonts w:asciiTheme="minorEastAsia" w:eastAsiaTheme="minorEastAsia" w:hAnsiTheme="minorEastAsia"/>
          <w:sz w:val="24"/>
          <w:szCs w:val="24"/>
        </w:rPr>
        <w:t>202</w:t>
      </w:r>
      <w:r>
        <w:rPr>
          <w:rFonts w:asciiTheme="minorEastAsia" w:eastAsiaTheme="minorEastAsia" w:hAnsiTheme="minorEastAsia" w:hint="eastAsia"/>
          <w:sz w:val="24"/>
          <w:szCs w:val="24"/>
        </w:rPr>
        <w:t>3年，是全面贯彻党的二十大精神的开局之年，是三年新冠疫情</w:t>
      </w:r>
      <w:proofErr w:type="gramStart"/>
      <w:r>
        <w:rPr>
          <w:rFonts w:asciiTheme="minorEastAsia" w:eastAsiaTheme="minorEastAsia" w:hAnsiTheme="minorEastAsia" w:hint="eastAsia"/>
          <w:sz w:val="24"/>
          <w:szCs w:val="24"/>
        </w:rPr>
        <w:t>防控转段后</w:t>
      </w:r>
      <w:proofErr w:type="gramEnd"/>
      <w:r>
        <w:rPr>
          <w:rFonts w:asciiTheme="minorEastAsia" w:eastAsiaTheme="minorEastAsia" w:hAnsiTheme="minorEastAsia" w:hint="eastAsia"/>
          <w:sz w:val="24"/>
          <w:szCs w:val="24"/>
        </w:rPr>
        <w:t>经济恢复发展的一年，也是我们成立农商行</w:t>
      </w:r>
      <w:r>
        <w:rPr>
          <w:rFonts w:asciiTheme="minorEastAsia" w:eastAsiaTheme="minorEastAsia" w:hAnsiTheme="minorEastAsia"/>
          <w:sz w:val="24"/>
          <w:szCs w:val="24"/>
        </w:rPr>
        <w:t>6周年、扎实服务地方高质量发展的一年</w:t>
      </w:r>
      <w:r>
        <w:rPr>
          <w:rFonts w:asciiTheme="minorEastAsia" w:eastAsiaTheme="minorEastAsia" w:hAnsiTheme="minorEastAsia" w:hint="eastAsia"/>
          <w:sz w:val="24"/>
          <w:szCs w:val="24"/>
        </w:rPr>
        <w:t>。回顾过去一年，多重困难挑战交织叠加，我们坚持以习近平新时代中国特色社会主义思想为指导，全面贯彻党的二十大精神，深入</w:t>
      </w:r>
      <w:proofErr w:type="gramStart"/>
      <w:r>
        <w:rPr>
          <w:rFonts w:asciiTheme="minorEastAsia" w:eastAsiaTheme="minorEastAsia" w:hAnsiTheme="minorEastAsia" w:hint="eastAsia"/>
          <w:sz w:val="24"/>
          <w:szCs w:val="24"/>
        </w:rPr>
        <w:t>践行</w:t>
      </w:r>
      <w:proofErr w:type="gramEnd"/>
      <w:r>
        <w:rPr>
          <w:rFonts w:asciiTheme="minorEastAsia" w:eastAsiaTheme="minorEastAsia" w:hAnsiTheme="minorEastAsia" w:hint="eastAsia"/>
          <w:sz w:val="24"/>
          <w:szCs w:val="24"/>
        </w:rPr>
        <w:t>金融工作的政治性、人民性，坚定不移走好勤劳金融之路，统筹推进稳增长、调结构、增动能、防风险、开新局各项工作，砥砺前行、开拓奋进，交出了一份来之不易的成绩单。</w:t>
      </w:r>
    </w:p>
    <w:p w:rsidR="008768CC" w:rsidRDefault="008768CC" w:rsidP="008768CC">
      <w:pPr>
        <w:widowControl w:val="0"/>
        <w:spacing w:line="5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截至</w:t>
      </w:r>
      <w:r>
        <w:rPr>
          <w:rFonts w:asciiTheme="minorEastAsia" w:eastAsiaTheme="minorEastAsia" w:hAnsiTheme="minorEastAsia"/>
          <w:sz w:val="24"/>
          <w:szCs w:val="24"/>
        </w:rPr>
        <w:t>202</w:t>
      </w:r>
      <w:r>
        <w:rPr>
          <w:rFonts w:asciiTheme="minorEastAsia" w:eastAsiaTheme="minorEastAsia" w:hAnsiTheme="minorEastAsia" w:hint="eastAsia"/>
          <w:sz w:val="24"/>
          <w:szCs w:val="24"/>
        </w:rPr>
        <w:t>3年末，本行资产总额达272.2亿元，比上年增加5.08亿元，增幅1.9</w:t>
      </w:r>
      <w:r>
        <w:rPr>
          <w:rFonts w:asciiTheme="minorEastAsia" w:eastAsiaTheme="minorEastAsia" w:hAnsiTheme="minorEastAsia"/>
          <w:sz w:val="24"/>
          <w:szCs w:val="24"/>
        </w:rPr>
        <w:t>%</w:t>
      </w:r>
      <w:r>
        <w:rPr>
          <w:rFonts w:asciiTheme="minorEastAsia" w:eastAsiaTheme="minorEastAsia" w:hAnsiTheme="minorEastAsia" w:hint="eastAsia"/>
          <w:sz w:val="24"/>
          <w:szCs w:val="24"/>
        </w:rPr>
        <w:t>；各项存款余额245.23亿元，增幅2.5</w:t>
      </w:r>
      <w:r>
        <w:rPr>
          <w:rFonts w:asciiTheme="minorEastAsia" w:eastAsiaTheme="minorEastAsia" w:hAnsiTheme="minorEastAsia"/>
          <w:sz w:val="24"/>
          <w:szCs w:val="24"/>
        </w:rPr>
        <w:t>%</w:t>
      </w:r>
      <w:r>
        <w:rPr>
          <w:rFonts w:asciiTheme="minorEastAsia" w:eastAsiaTheme="minorEastAsia" w:hAnsiTheme="minorEastAsia" w:hint="eastAsia"/>
          <w:sz w:val="24"/>
          <w:szCs w:val="24"/>
        </w:rPr>
        <w:t>；各项贷款余额</w:t>
      </w:r>
      <w:r>
        <w:rPr>
          <w:rFonts w:asciiTheme="minorEastAsia" w:eastAsiaTheme="minorEastAsia" w:hAnsiTheme="minorEastAsia"/>
          <w:sz w:val="24"/>
          <w:szCs w:val="24"/>
        </w:rPr>
        <w:t>1</w:t>
      </w:r>
      <w:r>
        <w:rPr>
          <w:rFonts w:asciiTheme="minorEastAsia" w:eastAsiaTheme="minorEastAsia" w:hAnsiTheme="minorEastAsia" w:hint="eastAsia"/>
          <w:sz w:val="24"/>
          <w:szCs w:val="24"/>
        </w:rPr>
        <w:t>37.08亿元，增幅1.45</w:t>
      </w:r>
      <w:r>
        <w:rPr>
          <w:rFonts w:asciiTheme="minorEastAsia" w:eastAsiaTheme="minorEastAsia" w:hAnsiTheme="minorEastAsia"/>
          <w:sz w:val="24"/>
          <w:szCs w:val="24"/>
        </w:rPr>
        <w:t>%</w:t>
      </w:r>
      <w:r>
        <w:rPr>
          <w:rFonts w:asciiTheme="minorEastAsia" w:eastAsiaTheme="minorEastAsia" w:hAnsiTheme="minorEastAsia" w:hint="eastAsia"/>
          <w:sz w:val="24"/>
          <w:szCs w:val="24"/>
        </w:rPr>
        <w:t>；存贷款市场份额稳居信宜各金融机构之首。</w:t>
      </w:r>
      <w:r>
        <w:rPr>
          <w:rFonts w:asciiTheme="minorEastAsia" w:eastAsiaTheme="minorEastAsia" w:hAnsiTheme="minorEastAsia"/>
          <w:sz w:val="24"/>
          <w:szCs w:val="24"/>
        </w:rPr>
        <w:t>202</w:t>
      </w:r>
      <w:r>
        <w:rPr>
          <w:rFonts w:asciiTheme="minorEastAsia" w:eastAsiaTheme="minorEastAsia" w:hAnsiTheme="minorEastAsia" w:hint="eastAsia"/>
          <w:sz w:val="24"/>
          <w:szCs w:val="24"/>
        </w:rPr>
        <w:t>3年实现财务总收入</w:t>
      </w:r>
      <w:r>
        <w:rPr>
          <w:rFonts w:asciiTheme="minorEastAsia" w:eastAsiaTheme="minorEastAsia" w:hAnsiTheme="minorEastAsia"/>
          <w:sz w:val="24"/>
          <w:szCs w:val="24"/>
        </w:rPr>
        <w:t>10.</w:t>
      </w:r>
      <w:r>
        <w:rPr>
          <w:rFonts w:asciiTheme="minorEastAsia" w:eastAsiaTheme="minorEastAsia" w:hAnsiTheme="minorEastAsia" w:hint="eastAsia"/>
          <w:sz w:val="24"/>
          <w:szCs w:val="24"/>
        </w:rPr>
        <w:t>49亿元，实现经营利润</w:t>
      </w:r>
      <w:r>
        <w:rPr>
          <w:rFonts w:asciiTheme="minorEastAsia" w:eastAsiaTheme="minorEastAsia" w:hAnsiTheme="minorEastAsia"/>
          <w:sz w:val="24"/>
          <w:szCs w:val="24"/>
        </w:rPr>
        <w:t>3.</w:t>
      </w:r>
      <w:r>
        <w:rPr>
          <w:rFonts w:asciiTheme="minorEastAsia" w:eastAsiaTheme="minorEastAsia" w:hAnsiTheme="minorEastAsia" w:hint="eastAsia"/>
          <w:sz w:val="24"/>
          <w:szCs w:val="24"/>
        </w:rPr>
        <w:t>43亿元，实现净利润</w:t>
      </w:r>
      <w:r>
        <w:rPr>
          <w:rFonts w:asciiTheme="minorEastAsia" w:eastAsiaTheme="minorEastAsia" w:hAnsiTheme="minorEastAsia"/>
          <w:sz w:val="24"/>
          <w:szCs w:val="24"/>
        </w:rPr>
        <w:t>1.</w:t>
      </w:r>
      <w:r>
        <w:rPr>
          <w:rFonts w:asciiTheme="minorEastAsia" w:eastAsiaTheme="minorEastAsia" w:hAnsiTheme="minorEastAsia" w:hint="eastAsia"/>
          <w:sz w:val="24"/>
          <w:szCs w:val="24"/>
        </w:rPr>
        <w:t>59亿元。每股净资产价值3.19元，始终保持稳定态势。不良贷款率为</w:t>
      </w:r>
      <w:r>
        <w:rPr>
          <w:rFonts w:asciiTheme="minorEastAsia" w:eastAsiaTheme="minorEastAsia" w:hAnsiTheme="minorEastAsia"/>
          <w:sz w:val="24"/>
          <w:szCs w:val="24"/>
        </w:rPr>
        <w:t>0.8</w:t>
      </w:r>
      <w:r>
        <w:rPr>
          <w:rFonts w:asciiTheme="minorEastAsia" w:eastAsiaTheme="minorEastAsia" w:hAnsiTheme="minorEastAsia" w:hint="eastAsia"/>
          <w:sz w:val="24"/>
          <w:szCs w:val="24"/>
        </w:rPr>
        <w:t>5</w:t>
      </w:r>
      <w:r>
        <w:rPr>
          <w:rFonts w:asciiTheme="minorEastAsia" w:eastAsiaTheme="minorEastAsia" w:hAnsiTheme="minorEastAsia"/>
          <w:sz w:val="24"/>
          <w:szCs w:val="24"/>
        </w:rPr>
        <w:t>%，资本充足率为</w:t>
      </w:r>
      <w:r>
        <w:rPr>
          <w:rFonts w:asciiTheme="minorEastAsia" w:eastAsiaTheme="minorEastAsia" w:hAnsiTheme="minorEastAsia" w:hint="eastAsia"/>
          <w:sz w:val="24"/>
          <w:szCs w:val="24"/>
        </w:rPr>
        <w:t>16.07</w:t>
      </w:r>
      <w:r>
        <w:rPr>
          <w:rFonts w:asciiTheme="minorEastAsia" w:eastAsiaTheme="minorEastAsia" w:hAnsiTheme="minorEastAsia"/>
          <w:sz w:val="24"/>
          <w:szCs w:val="24"/>
        </w:rPr>
        <w:t>%，拨备覆盖率</w:t>
      </w:r>
      <w:r>
        <w:rPr>
          <w:rFonts w:asciiTheme="minorEastAsia" w:eastAsiaTheme="minorEastAsia" w:hAnsiTheme="minorEastAsia" w:hint="eastAsia"/>
          <w:sz w:val="24"/>
          <w:szCs w:val="24"/>
        </w:rPr>
        <w:t>318.87</w:t>
      </w:r>
      <w:r>
        <w:rPr>
          <w:rFonts w:asciiTheme="minorEastAsia" w:eastAsiaTheme="minorEastAsia" w:hAnsiTheme="minorEastAsia"/>
          <w:sz w:val="24"/>
          <w:szCs w:val="24"/>
        </w:rPr>
        <w:t>%，拨贷比</w:t>
      </w:r>
      <w:r>
        <w:rPr>
          <w:rFonts w:asciiTheme="minorEastAsia" w:eastAsiaTheme="minorEastAsia" w:hAnsiTheme="minorEastAsia" w:hint="eastAsia"/>
          <w:sz w:val="24"/>
          <w:szCs w:val="24"/>
        </w:rPr>
        <w:t>2.7</w:t>
      </w:r>
      <w:r>
        <w:rPr>
          <w:rFonts w:asciiTheme="minorEastAsia" w:eastAsiaTheme="minorEastAsia" w:hAnsiTheme="minorEastAsia"/>
          <w:sz w:val="24"/>
          <w:szCs w:val="24"/>
        </w:rPr>
        <w:t>%，存贷比</w:t>
      </w:r>
      <w:r>
        <w:rPr>
          <w:rFonts w:asciiTheme="minorEastAsia" w:eastAsiaTheme="minorEastAsia" w:hAnsiTheme="minorEastAsia" w:hint="eastAsia"/>
          <w:sz w:val="24"/>
          <w:szCs w:val="24"/>
        </w:rPr>
        <w:t>55.03</w:t>
      </w:r>
      <w:r>
        <w:rPr>
          <w:rFonts w:asciiTheme="minorEastAsia" w:eastAsiaTheme="minorEastAsia" w:hAnsiTheme="minorEastAsia"/>
          <w:sz w:val="24"/>
          <w:szCs w:val="24"/>
        </w:rPr>
        <w:t>%，主要监管指标均符合监管要求，监管评级</w:t>
      </w:r>
      <w:r>
        <w:rPr>
          <w:rFonts w:asciiTheme="minorEastAsia" w:eastAsiaTheme="minorEastAsia" w:hAnsiTheme="minorEastAsia" w:hint="eastAsia"/>
          <w:sz w:val="24"/>
          <w:szCs w:val="24"/>
        </w:rPr>
        <w:t>保持平稳，力争上升</w:t>
      </w:r>
      <w:r>
        <w:rPr>
          <w:rFonts w:asciiTheme="minorEastAsia" w:eastAsiaTheme="minorEastAsia" w:hAnsiTheme="minorEastAsia"/>
          <w:sz w:val="24"/>
          <w:szCs w:val="24"/>
        </w:rPr>
        <w:t>。</w:t>
      </w:r>
    </w:p>
    <w:p w:rsidR="008768CC" w:rsidRDefault="008768CC" w:rsidP="008768CC">
      <w:pPr>
        <w:widowControl w:val="0"/>
        <w:spacing w:line="500" w:lineRule="exact"/>
        <w:ind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这一年</w:t>
      </w:r>
      <w:r>
        <w:rPr>
          <w:rFonts w:asciiTheme="minorEastAsia" w:eastAsiaTheme="minorEastAsia" w:hAnsiTheme="minorEastAsia" w:hint="eastAsia"/>
          <w:sz w:val="24"/>
          <w:szCs w:val="24"/>
        </w:rPr>
        <w:t>，我们按照党中央、省委和省联社党委统一部署，深入开展学习贯彻习近平新时代中国特色社会主义思想主题教育，学思想、强党性、重实践、建新功，在以</w:t>
      </w:r>
      <w:proofErr w:type="gramStart"/>
      <w:r>
        <w:rPr>
          <w:rFonts w:asciiTheme="minorEastAsia" w:eastAsiaTheme="minorEastAsia" w:hAnsiTheme="minorEastAsia" w:hint="eastAsia"/>
          <w:sz w:val="24"/>
          <w:szCs w:val="24"/>
        </w:rPr>
        <w:t>学铸魂</w:t>
      </w:r>
      <w:proofErr w:type="gramEnd"/>
      <w:r>
        <w:rPr>
          <w:rFonts w:asciiTheme="minorEastAsia" w:eastAsiaTheme="minorEastAsia" w:hAnsiTheme="minorEastAsia" w:hint="eastAsia"/>
          <w:sz w:val="24"/>
          <w:szCs w:val="24"/>
        </w:rPr>
        <w:t>、以学增智、以学正风、以学促干上取得扎实成效。我们认真学习贯彻习近平总书记关于党的建设的重要思想，以党的政治建设</w:t>
      </w:r>
      <w:proofErr w:type="gramStart"/>
      <w:r>
        <w:rPr>
          <w:rFonts w:asciiTheme="minorEastAsia" w:eastAsiaTheme="minorEastAsia" w:hAnsiTheme="minorEastAsia" w:hint="eastAsia"/>
          <w:sz w:val="24"/>
          <w:szCs w:val="24"/>
        </w:rPr>
        <w:t>统领党</w:t>
      </w:r>
      <w:proofErr w:type="gramEnd"/>
      <w:r>
        <w:rPr>
          <w:rFonts w:asciiTheme="minorEastAsia" w:eastAsiaTheme="minorEastAsia" w:hAnsiTheme="minorEastAsia" w:hint="eastAsia"/>
          <w:sz w:val="24"/>
          <w:szCs w:val="24"/>
        </w:rPr>
        <w:t>的建设各项工作，推动党的建设和组织工作实现新提升。</w:t>
      </w:r>
    </w:p>
    <w:p w:rsidR="008768CC" w:rsidRDefault="008768CC" w:rsidP="008768CC">
      <w:pPr>
        <w:widowControl w:val="0"/>
        <w:spacing w:line="500" w:lineRule="exact"/>
        <w:ind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这一年</w:t>
      </w:r>
      <w:r>
        <w:rPr>
          <w:rFonts w:asciiTheme="minorEastAsia" w:eastAsiaTheme="minorEastAsia" w:hAnsiTheme="minorEastAsia" w:hint="eastAsia"/>
          <w:sz w:val="24"/>
          <w:szCs w:val="24"/>
        </w:rPr>
        <w:t>，我们推进法人治理工作日臻完善。本行《章程》《股份管理办法》《主要股东承诺管理办法》等核心制度及时修订，公司治理机制持续完善；“两会一层”换届顺利完成，公司治理组织架构不断健全；外部董事决策能力有效发挥，</w:t>
      </w:r>
      <w:proofErr w:type="gramStart"/>
      <w:r>
        <w:rPr>
          <w:rFonts w:asciiTheme="minorEastAsia" w:eastAsiaTheme="minorEastAsia" w:hAnsiTheme="minorEastAsia" w:hint="eastAsia"/>
          <w:sz w:val="24"/>
          <w:szCs w:val="24"/>
        </w:rPr>
        <w:t>董监高履职</w:t>
      </w:r>
      <w:proofErr w:type="gramEnd"/>
      <w:r>
        <w:rPr>
          <w:rFonts w:asciiTheme="minorEastAsia" w:eastAsiaTheme="minorEastAsia" w:hAnsiTheme="minorEastAsia" w:hint="eastAsia"/>
          <w:sz w:val="24"/>
          <w:szCs w:val="24"/>
        </w:rPr>
        <w:t>培训有效开展；地方国有资本成功入股本行，股权结构不断优化；信息披露质量和效率不断提高；审计体系持续优化，内控体系建设逐步加强，风险治理能力全面提高。</w:t>
      </w:r>
    </w:p>
    <w:p w:rsidR="008768CC" w:rsidRDefault="008768CC" w:rsidP="008768CC">
      <w:pPr>
        <w:widowControl w:val="0"/>
        <w:spacing w:line="500" w:lineRule="exact"/>
        <w:ind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这一年</w:t>
      </w:r>
      <w:r>
        <w:rPr>
          <w:rFonts w:asciiTheme="minorEastAsia" w:eastAsiaTheme="minorEastAsia" w:hAnsiTheme="minorEastAsia" w:hint="eastAsia"/>
          <w:sz w:val="24"/>
          <w:szCs w:val="24"/>
        </w:rPr>
        <w:t>，我们积极传导稳健货币政策，保持投融资连续性稳定性，存贷款保持稳健发展，有效发挥了农村金融主力军作用。将更多优质金融资源配置到重大战略、重点领域和薄弱环节，涉农、</w:t>
      </w:r>
      <w:proofErr w:type="gramStart"/>
      <w:r>
        <w:rPr>
          <w:rFonts w:asciiTheme="minorEastAsia" w:eastAsiaTheme="minorEastAsia" w:hAnsiTheme="minorEastAsia" w:hint="eastAsia"/>
          <w:sz w:val="24"/>
          <w:szCs w:val="24"/>
        </w:rPr>
        <w:t>小微企等</w:t>
      </w:r>
      <w:proofErr w:type="gramEnd"/>
      <w:r>
        <w:rPr>
          <w:rFonts w:asciiTheme="minorEastAsia" w:eastAsiaTheme="minorEastAsia" w:hAnsiTheme="minorEastAsia" w:hint="eastAsia"/>
          <w:sz w:val="24"/>
          <w:szCs w:val="24"/>
        </w:rPr>
        <w:t>领域贷款稳步增长，绿色金融优势更加巩固。建立领导挂点督导机制，推动普惠金融加快增量</w:t>
      </w:r>
      <w:proofErr w:type="gramStart"/>
      <w:r>
        <w:rPr>
          <w:rFonts w:asciiTheme="minorEastAsia" w:eastAsiaTheme="minorEastAsia" w:hAnsiTheme="minorEastAsia" w:hint="eastAsia"/>
          <w:sz w:val="24"/>
          <w:szCs w:val="24"/>
        </w:rPr>
        <w:t>拓面提</w:t>
      </w:r>
      <w:proofErr w:type="gramEnd"/>
      <w:r>
        <w:rPr>
          <w:rFonts w:asciiTheme="minorEastAsia" w:eastAsiaTheme="minorEastAsia" w:hAnsiTheme="minorEastAsia" w:hint="eastAsia"/>
          <w:sz w:val="24"/>
          <w:szCs w:val="24"/>
        </w:rPr>
        <w:t>质。创新产品、改进服务，推出</w:t>
      </w:r>
      <w:r>
        <w:rPr>
          <w:rFonts w:asciiTheme="minorEastAsia" w:eastAsiaTheme="minorEastAsia" w:hAnsiTheme="minorEastAsia" w:hint="eastAsia"/>
          <w:sz w:val="24"/>
          <w:szCs w:val="24"/>
        </w:rPr>
        <w:lastRenderedPageBreak/>
        <w:t>了“街区居民贷”“小区业主贷”“住房装修贷”等产品，加强客户投诉治理、</w:t>
      </w:r>
      <w:proofErr w:type="gramStart"/>
      <w:r>
        <w:rPr>
          <w:rFonts w:asciiTheme="minorEastAsia" w:eastAsiaTheme="minorEastAsia" w:hAnsiTheme="minorEastAsia" w:hint="eastAsia"/>
          <w:sz w:val="24"/>
          <w:szCs w:val="24"/>
        </w:rPr>
        <w:t>加强消保工作</w:t>
      </w:r>
      <w:proofErr w:type="gramEnd"/>
      <w:r>
        <w:rPr>
          <w:rFonts w:asciiTheme="minorEastAsia" w:eastAsiaTheme="minorEastAsia" w:hAnsiTheme="minorEastAsia" w:hint="eastAsia"/>
          <w:sz w:val="24"/>
          <w:szCs w:val="24"/>
        </w:rPr>
        <w:t>，人民满意银行建设迈出新步伐。高质量服务代发工资、三农补贴、国库集中支付业务，高效率保障汛情险情灾情下的服务畅通，赢得广泛赞誉。</w:t>
      </w:r>
    </w:p>
    <w:p w:rsidR="008768CC" w:rsidRDefault="008768CC" w:rsidP="008768CC">
      <w:pPr>
        <w:widowControl w:val="0"/>
        <w:spacing w:line="500" w:lineRule="exact"/>
        <w:ind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这一年</w:t>
      </w:r>
      <w:r>
        <w:rPr>
          <w:rFonts w:asciiTheme="minorEastAsia" w:eastAsiaTheme="minorEastAsia" w:hAnsiTheme="minorEastAsia" w:hint="eastAsia"/>
          <w:sz w:val="24"/>
          <w:szCs w:val="24"/>
        </w:rPr>
        <w:t>，我们坚持金融为民，同向而行、同心奋进“百千万工程”不断取得新的成效。</w:t>
      </w:r>
      <w:r>
        <w:rPr>
          <w:rFonts w:asciiTheme="minorEastAsia" w:eastAsiaTheme="minorEastAsia" w:hAnsiTheme="minorEastAsia"/>
          <w:sz w:val="24"/>
          <w:szCs w:val="24"/>
        </w:rPr>
        <w:t>我们的户户通工作被信宜市委、市政府纳入《信宜市落实“百县千镇万村高质量发展工程”促进城乡区域协调发展行动方案》，</w:t>
      </w:r>
      <w:r>
        <w:rPr>
          <w:rFonts w:asciiTheme="minorEastAsia" w:eastAsiaTheme="minorEastAsia" w:hAnsiTheme="minorEastAsia" w:hint="eastAsia"/>
          <w:sz w:val="24"/>
          <w:szCs w:val="24"/>
        </w:rPr>
        <w:t>普惠金融</w:t>
      </w:r>
      <w:r>
        <w:rPr>
          <w:rFonts w:asciiTheme="minorEastAsia" w:eastAsiaTheme="minorEastAsia" w:hAnsiTheme="minorEastAsia"/>
          <w:sz w:val="24"/>
          <w:szCs w:val="24"/>
        </w:rPr>
        <w:t>得到进一步推动。我们出台了金融支持经济高质量发展行动等信贷有关政策文件达41份，服务“百千万工程”，突出支持制造业当家，“户户通”有力推动城乡区域协调发展，整村授信覆盖100%，授</w:t>
      </w:r>
      <w:proofErr w:type="gramStart"/>
      <w:r>
        <w:rPr>
          <w:rFonts w:asciiTheme="minorEastAsia" w:eastAsiaTheme="minorEastAsia" w:hAnsiTheme="minorEastAsia"/>
          <w:sz w:val="24"/>
          <w:szCs w:val="24"/>
        </w:rPr>
        <w:t>信金额</w:t>
      </w:r>
      <w:proofErr w:type="gramEnd"/>
      <w:r>
        <w:rPr>
          <w:rFonts w:asciiTheme="minorEastAsia" w:eastAsiaTheme="minorEastAsia" w:hAnsiTheme="minorEastAsia"/>
          <w:sz w:val="24"/>
          <w:szCs w:val="24"/>
        </w:rPr>
        <w:t>达</w:t>
      </w:r>
      <w:r>
        <w:rPr>
          <w:rFonts w:asciiTheme="minorEastAsia" w:eastAsiaTheme="minorEastAsia" w:hAnsiTheme="minorEastAsia" w:hint="eastAsia"/>
          <w:sz w:val="24"/>
          <w:szCs w:val="24"/>
        </w:rPr>
        <w:t>113.49</w:t>
      </w:r>
      <w:r>
        <w:rPr>
          <w:rFonts w:asciiTheme="minorEastAsia" w:eastAsiaTheme="minorEastAsia" w:hAnsiTheme="minorEastAsia"/>
          <w:sz w:val="24"/>
          <w:szCs w:val="24"/>
        </w:rPr>
        <w:t>亿元，用信约</w:t>
      </w:r>
      <w:r>
        <w:rPr>
          <w:rFonts w:asciiTheme="minorEastAsia" w:eastAsiaTheme="minorEastAsia" w:hAnsiTheme="minorEastAsia" w:hint="eastAsia"/>
          <w:sz w:val="24"/>
          <w:szCs w:val="24"/>
        </w:rPr>
        <w:t>38.15</w:t>
      </w:r>
      <w:r>
        <w:rPr>
          <w:rFonts w:asciiTheme="minorEastAsia" w:eastAsiaTheme="minorEastAsia" w:hAnsiTheme="minorEastAsia"/>
          <w:sz w:val="24"/>
          <w:szCs w:val="24"/>
        </w:rPr>
        <w:t>亿元；普惠贷款户数</w:t>
      </w:r>
      <w:r>
        <w:rPr>
          <w:rFonts w:asciiTheme="minorEastAsia" w:eastAsiaTheme="minorEastAsia" w:hAnsiTheme="minorEastAsia" w:hint="eastAsia"/>
          <w:sz w:val="24"/>
          <w:szCs w:val="24"/>
        </w:rPr>
        <w:t>4.88万</w:t>
      </w:r>
      <w:r>
        <w:rPr>
          <w:rFonts w:asciiTheme="minorEastAsia" w:eastAsiaTheme="minorEastAsia" w:hAnsiTheme="minorEastAsia"/>
          <w:sz w:val="24"/>
          <w:szCs w:val="24"/>
        </w:rPr>
        <w:t>户，普惠贷款余额10</w:t>
      </w:r>
      <w:r>
        <w:rPr>
          <w:rFonts w:asciiTheme="minorEastAsia" w:eastAsiaTheme="minorEastAsia" w:hAnsiTheme="minorEastAsia" w:hint="eastAsia"/>
          <w:sz w:val="24"/>
          <w:szCs w:val="24"/>
        </w:rPr>
        <w:t>8.06</w:t>
      </w:r>
      <w:r>
        <w:rPr>
          <w:rFonts w:asciiTheme="minorEastAsia" w:eastAsiaTheme="minorEastAsia" w:hAnsiTheme="minorEastAsia"/>
          <w:sz w:val="24"/>
          <w:szCs w:val="24"/>
        </w:rPr>
        <w:t>亿元；持续减费让利服务实体</w:t>
      </w:r>
      <w:r>
        <w:rPr>
          <w:rFonts w:asciiTheme="minorEastAsia" w:eastAsiaTheme="minorEastAsia" w:hAnsiTheme="minorEastAsia" w:hint="eastAsia"/>
          <w:sz w:val="24"/>
          <w:szCs w:val="24"/>
        </w:rPr>
        <w:t>经济达</w:t>
      </w:r>
      <w:r>
        <w:rPr>
          <w:rFonts w:asciiTheme="minorEastAsia" w:eastAsiaTheme="minorEastAsia" w:hAnsiTheme="minorEastAsia"/>
          <w:sz w:val="24"/>
          <w:szCs w:val="24"/>
        </w:rPr>
        <w:t>0.3</w:t>
      </w:r>
      <w:r>
        <w:rPr>
          <w:rFonts w:asciiTheme="minorEastAsia" w:eastAsiaTheme="minorEastAsia" w:hAnsiTheme="minorEastAsia" w:hint="eastAsia"/>
          <w:sz w:val="24"/>
          <w:szCs w:val="24"/>
        </w:rPr>
        <w:t>4</w:t>
      </w:r>
      <w:r>
        <w:rPr>
          <w:rFonts w:asciiTheme="minorEastAsia" w:eastAsiaTheme="minorEastAsia" w:hAnsiTheme="minorEastAsia"/>
          <w:sz w:val="24"/>
          <w:szCs w:val="24"/>
        </w:rPr>
        <w:t>亿元。</w:t>
      </w:r>
    </w:p>
    <w:p w:rsidR="008768CC" w:rsidRDefault="008768CC" w:rsidP="008768CC">
      <w:pPr>
        <w:widowControl w:val="0"/>
        <w:spacing w:line="500" w:lineRule="exact"/>
        <w:ind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这一年</w:t>
      </w:r>
      <w:r>
        <w:rPr>
          <w:rFonts w:asciiTheme="minorEastAsia" w:eastAsiaTheme="minorEastAsia" w:hAnsiTheme="minorEastAsia" w:hint="eastAsia"/>
          <w:sz w:val="24"/>
          <w:szCs w:val="24"/>
        </w:rPr>
        <w:t>，错综复杂的形势让防控风险变得更加重要。我们要意识到案件的发生对企业的深远影响，坚持以案为鉴，以案促改，</w:t>
      </w:r>
      <w:r>
        <w:rPr>
          <w:rFonts w:asciiTheme="minorEastAsia" w:eastAsiaTheme="minorEastAsia" w:hAnsiTheme="minorEastAsia"/>
          <w:sz w:val="24"/>
          <w:szCs w:val="24"/>
        </w:rPr>
        <w:t>以构建全面风险管理的体制机制为切入点，建立 “月警示”常态化警示教育机制，强化内控合</w:t>
      </w:r>
      <w:proofErr w:type="gramStart"/>
      <w:r>
        <w:rPr>
          <w:rFonts w:asciiTheme="minorEastAsia" w:eastAsiaTheme="minorEastAsia" w:hAnsiTheme="minorEastAsia"/>
          <w:sz w:val="24"/>
          <w:szCs w:val="24"/>
        </w:rPr>
        <w:t>规</w:t>
      </w:r>
      <w:proofErr w:type="gramEnd"/>
      <w:r>
        <w:rPr>
          <w:rFonts w:asciiTheme="minorEastAsia" w:eastAsiaTheme="minorEastAsia" w:hAnsiTheme="minorEastAsia"/>
          <w:sz w:val="24"/>
          <w:szCs w:val="24"/>
        </w:rPr>
        <w:t>管理建设，强化风险排查，强化人员管理，强化产品、科技和网络安全管理，提升</w:t>
      </w:r>
      <w:proofErr w:type="gramStart"/>
      <w:r>
        <w:rPr>
          <w:rFonts w:asciiTheme="minorEastAsia" w:eastAsiaTheme="minorEastAsia" w:hAnsiTheme="minorEastAsia"/>
          <w:sz w:val="24"/>
          <w:szCs w:val="24"/>
        </w:rPr>
        <w:t>智能化风控水平</w:t>
      </w:r>
      <w:proofErr w:type="gramEnd"/>
      <w:r>
        <w:rPr>
          <w:rFonts w:asciiTheme="minorEastAsia" w:eastAsiaTheme="minorEastAsia" w:hAnsiTheme="minorEastAsia"/>
          <w:sz w:val="24"/>
          <w:szCs w:val="24"/>
        </w:rPr>
        <w:t>，层层压实</w:t>
      </w:r>
      <w:proofErr w:type="gramStart"/>
      <w:r>
        <w:rPr>
          <w:rFonts w:asciiTheme="minorEastAsia" w:eastAsiaTheme="minorEastAsia" w:hAnsiTheme="minorEastAsia"/>
          <w:sz w:val="24"/>
          <w:szCs w:val="24"/>
        </w:rPr>
        <w:t>内控案防</w:t>
      </w:r>
      <w:proofErr w:type="gramEnd"/>
      <w:r>
        <w:rPr>
          <w:rFonts w:asciiTheme="minorEastAsia" w:eastAsiaTheme="minorEastAsia" w:hAnsiTheme="minorEastAsia"/>
          <w:sz w:val="24"/>
          <w:szCs w:val="24"/>
        </w:rPr>
        <w:t>、安全生产责任，风险防线进一步筑牢。常态化推进不良清收攻坚战，强化风险资产经营，多</w:t>
      </w:r>
      <w:proofErr w:type="gramStart"/>
      <w:r>
        <w:rPr>
          <w:rFonts w:asciiTheme="minorEastAsia" w:eastAsiaTheme="minorEastAsia" w:hAnsiTheme="minorEastAsia"/>
          <w:sz w:val="24"/>
          <w:szCs w:val="24"/>
        </w:rPr>
        <w:t>措</w:t>
      </w:r>
      <w:proofErr w:type="gramEnd"/>
      <w:r>
        <w:rPr>
          <w:rFonts w:asciiTheme="minorEastAsia" w:eastAsiaTheme="minorEastAsia" w:hAnsiTheme="minorEastAsia"/>
          <w:sz w:val="24"/>
          <w:szCs w:val="24"/>
        </w:rPr>
        <w:t>并举防范化解重点领域风险，资产质量稳定向好。</w:t>
      </w:r>
    </w:p>
    <w:p w:rsidR="008768CC" w:rsidRDefault="008768CC" w:rsidP="008768CC">
      <w:pPr>
        <w:widowControl w:val="0"/>
        <w:spacing w:line="500" w:lineRule="exact"/>
        <w:ind w:firstLine="480"/>
        <w:rPr>
          <w:rFonts w:asciiTheme="minorEastAsia" w:eastAsiaTheme="minorEastAsia" w:hAnsiTheme="minorEastAsia"/>
          <w:sz w:val="24"/>
          <w:szCs w:val="24"/>
        </w:rPr>
      </w:pPr>
      <w:r>
        <w:rPr>
          <w:rFonts w:asciiTheme="minorEastAsia" w:eastAsiaTheme="minorEastAsia" w:hAnsiTheme="minorEastAsia"/>
          <w:sz w:val="24"/>
          <w:szCs w:val="24"/>
        </w:rPr>
        <w:t>20</w:t>
      </w:r>
      <w:r>
        <w:rPr>
          <w:rFonts w:asciiTheme="minorEastAsia" w:eastAsiaTheme="minorEastAsia" w:hAnsiTheme="minorEastAsia" w:hint="eastAsia"/>
          <w:sz w:val="24"/>
          <w:szCs w:val="24"/>
        </w:rPr>
        <w:t>24</w:t>
      </w:r>
      <w:r>
        <w:rPr>
          <w:rFonts w:asciiTheme="minorEastAsia" w:eastAsiaTheme="minorEastAsia" w:hAnsiTheme="minorEastAsia"/>
          <w:sz w:val="24"/>
          <w:szCs w:val="24"/>
        </w:rPr>
        <w:t>年是全年贯彻党的</w:t>
      </w:r>
      <w:r>
        <w:rPr>
          <w:rFonts w:asciiTheme="minorEastAsia" w:eastAsiaTheme="minorEastAsia" w:hAnsiTheme="minorEastAsia" w:hint="eastAsia"/>
          <w:sz w:val="24"/>
          <w:szCs w:val="24"/>
        </w:rPr>
        <w:t>二十</w:t>
      </w:r>
      <w:r>
        <w:rPr>
          <w:rFonts w:asciiTheme="minorEastAsia" w:eastAsiaTheme="minorEastAsia" w:hAnsiTheme="minorEastAsia"/>
          <w:sz w:val="24"/>
          <w:szCs w:val="24"/>
        </w:rPr>
        <w:t>大精神之年，是实</w:t>
      </w:r>
      <w:r>
        <w:rPr>
          <w:rFonts w:asciiTheme="minorEastAsia" w:eastAsiaTheme="minorEastAsia" w:hAnsiTheme="minorEastAsia" w:hint="eastAsia"/>
          <w:sz w:val="24"/>
          <w:szCs w:val="24"/>
        </w:rPr>
        <w:t>现</w:t>
      </w:r>
      <w:r>
        <w:rPr>
          <w:rFonts w:asciiTheme="minorEastAsia" w:eastAsiaTheme="minorEastAsia" w:hAnsiTheme="minorEastAsia"/>
          <w:sz w:val="24"/>
          <w:szCs w:val="24"/>
        </w:rPr>
        <w:t>“十</w:t>
      </w:r>
      <w:r>
        <w:rPr>
          <w:rFonts w:asciiTheme="minorEastAsia" w:eastAsiaTheme="minorEastAsia" w:hAnsiTheme="minorEastAsia" w:hint="eastAsia"/>
          <w:sz w:val="24"/>
          <w:szCs w:val="24"/>
        </w:rPr>
        <w:t>四</w:t>
      </w:r>
      <w:r>
        <w:rPr>
          <w:rFonts w:asciiTheme="minorEastAsia" w:eastAsiaTheme="minorEastAsia" w:hAnsiTheme="minorEastAsia"/>
          <w:sz w:val="24"/>
          <w:szCs w:val="24"/>
        </w:rPr>
        <w:t>五”规划</w:t>
      </w:r>
      <w:r>
        <w:rPr>
          <w:rFonts w:asciiTheme="minorEastAsia" w:eastAsiaTheme="minorEastAsia" w:hAnsiTheme="minorEastAsia" w:hint="eastAsia"/>
          <w:sz w:val="24"/>
          <w:szCs w:val="24"/>
        </w:rPr>
        <w:t>目标任务的关键</w:t>
      </w:r>
      <w:r>
        <w:rPr>
          <w:rFonts w:asciiTheme="minorEastAsia" w:eastAsiaTheme="minorEastAsia" w:hAnsiTheme="minorEastAsia"/>
          <w:sz w:val="24"/>
          <w:szCs w:val="24"/>
        </w:rPr>
        <w:t>之年，更是本行实施三年中期战略规划的</w:t>
      </w:r>
      <w:r>
        <w:rPr>
          <w:rFonts w:asciiTheme="minorEastAsia" w:eastAsiaTheme="minorEastAsia" w:hAnsiTheme="minorEastAsia" w:hint="eastAsia"/>
          <w:sz w:val="24"/>
          <w:szCs w:val="24"/>
        </w:rPr>
        <w:t>承上启下</w:t>
      </w:r>
      <w:r>
        <w:rPr>
          <w:rFonts w:asciiTheme="minorEastAsia" w:eastAsiaTheme="minorEastAsia" w:hAnsiTheme="minorEastAsia"/>
          <w:sz w:val="24"/>
          <w:szCs w:val="24"/>
        </w:rPr>
        <w:t>之年。</w:t>
      </w:r>
      <w:r>
        <w:rPr>
          <w:rFonts w:asciiTheme="minorEastAsia" w:eastAsiaTheme="minorEastAsia" w:hAnsiTheme="minorEastAsia" w:hint="eastAsia"/>
          <w:sz w:val="24"/>
          <w:szCs w:val="24"/>
        </w:rPr>
        <w:t>我们将坚持和加强党管金融，落实“两个</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以贯之”要求，促进党的领导和法人治理相统一、党的建设和经营管理相融合。坚持稳中求进、以</w:t>
      </w:r>
      <w:proofErr w:type="gramStart"/>
      <w:r>
        <w:rPr>
          <w:rFonts w:asciiTheme="minorEastAsia" w:eastAsiaTheme="minorEastAsia" w:hAnsiTheme="minorEastAsia" w:hint="eastAsia"/>
          <w:sz w:val="24"/>
          <w:szCs w:val="24"/>
        </w:rPr>
        <w:t>进促稳</w:t>
      </w:r>
      <w:proofErr w:type="gramEnd"/>
      <w:r>
        <w:rPr>
          <w:rFonts w:asciiTheme="minorEastAsia" w:eastAsiaTheme="minorEastAsia" w:hAnsiTheme="minorEastAsia" w:hint="eastAsia"/>
          <w:sz w:val="24"/>
          <w:szCs w:val="24"/>
        </w:rPr>
        <w:t>、先立后破、自强自立，坚定不移走勤劳金融发展之路，深刻把握金融工作的政治性、人民性，努力做好科技金融、绿色金融、普惠金融、养老金融、数字金融“</w:t>
      </w:r>
      <w:r>
        <w:rPr>
          <w:rFonts w:asciiTheme="minorEastAsia" w:eastAsiaTheme="minorEastAsia" w:hAnsiTheme="minorEastAsia"/>
          <w:sz w:val="24"/>
          <w:szCs w:val="24"/>
        </w:rPr>
        <w:t>5篇大文章”</w:t>
      </w:r>
      <w:r>
        <w:rPr>
          <w:rFonts w:asciiTheme="minorEastAsia" w:eastAsiaTheme="minorEastAsia" w:hAnsiTheme="minorEastAsia" w:hint="eastAsia"/>
          <w:sz w:val="24"/>
          <w:szCs w:val="24"/>
        </w:rPr>
        <w:t>。坚持全行“一盘棋”、统筹安全与发展，建设“小而强”、“小而美”、更具竞争活力的现代农商行。坚持支农支小定位，服务实体经济为本，全力支持“制造业当家”，</w:t>
      </w:r>
      <w:r>
        <w:rPr>
          <w:rFonts w:asciiTheme="minorEastAsia" w:eastAsiaTheme="minorEastAsia" w:hAnsiTheme="minorEastAsia"/>
          <w:sz w:val="24"/>
          <w:szCs w:val="24"/>
        </w:rPr>
        <w:t>在全面对接“百千万工程”、服务经济社会高质量发展中奋力推动信宜农商银行高质量发展。</w:t>
      </w:r>
    </w:p>
    <w:p w:rsidR="008768CC" w:rsidRDefault="008768CC" w:rsidP="008768CC">
      <w:pPr>
        <w:widowControl w:val="0"/>
        <w:spacing w:line="500" w:lineRule="exact"/>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董事长：黄勇   </w:t>
      </w:r>
    </w:p>
    <w:p w:rsidR="008768CC" w:rsidRDefault="008768CC" w:rsidP="008768CC">
      <w:pPr>
        <w:widowControl w:val="0"/>
        <w:spacing w:line="500" w:lineRule="exact"/>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2024年4月24日</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br w:type="page"/>
      </w:r>
      <w:r>
        <w:rPr>
          <w:rFonts w:asciiTheme="minorEastAsia" w:eastAsiaTheme="minorEastAsia" w:hAnsiTheme="minorEastAsia" w:hint="eastAsia"/>
          <w:b/>
          <w:sz w:val="24"/>
          <w:szCs w:val="24"/>
        </w:rPr>
        <w:lastRenderedPageBreak/>
        <w:t>6.公司基本情况</w:t>
      </w:r>
    </w:p>
    <w:p w:rsidR="008768CC" w:rsidRDefault="008768CC" w:rsidP="008768CC">
      <w:pPr>
        <w:widowControl w:val="0"/>
        <w:spacing w:line="500" w:lineRule="exact"/>
        <w:ind w:firstLineChars="0" w:firstLine="0"/>
        <w:rPr>
          <w:rFonts w:asciiTheme="minorEastAsia" w:eastAsiaTheme="minorEastAsia" w:hAnsiTheme="minorEastAsia" w:cs="Courier New"/>
          <w:b/>
          <w:sz w:val="24"/>
          <w:szCs w:val="24"/>
        </w:rPr>
      </w:pPr>
      <w:r>
        <w:rPr>
          <w:rFonts w:asciiTheme="minorEastAsia" w:eastAsiaTheme="minorEastAsia" w:hAnsiTheme="minorEastAsia" w:cs="Courier New" w:hint="eastAsia"/>
          <w:b/>
          <w:sz w:val="24"/>
          <w:szCs w:val="24"/>
        </w:rPr>
        <w:t>(1)法定名称</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cs="Courier New" w:hint="eastAsia"/>
          <w:sz w:val="24"/>
          <w:szCs w:val="24"/>
        </w:rPr>
        <w:t>法定中文名称：</w:t>
      </w:r>
      <w:r>
        <w:rPr>
          <w:rFonts w:asciiTheme="minorEastAsia" w:eastAsiaTheme="minorEastAsia" w:hAnsiTheme="minorEastAsia" w:hint="eastAsia"/>
          <w:sz w:val="24"/>
          <w:szCs w:val="24"/>
        </w:rPr>
        <w:t>广东信宜农村商业银行股份有限公司(简称：信宜农商银行，下称“本行”)</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cs="Courier New" w:hint="eastAsia"/>
          <w:sz w:val="24"/>
          <w:szCs w:val="24"/>
        </w:rPr>
        <w:t>法定英文名称：</w:t>
      </w:r>
      <w:r>
        <w:rPr>
          <w:rFonts w:asciiTheme="minorEastAsia" w:eastAsiaTheme="minorEastAsia" w:hAnsiTheme="minorEastAsia" w:hint="eastAsia"/>
          <w:sz w:val="24"/>
          <w:szCs w:val="24"/>
        </w:rPr>
        <w:t>Guangdong Xinyi Rural Commercial Bank Company Limited（简称：Xinyi Rural Commercial Bank    缩写：XYRCB）</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(2)法定代表人：</w:t>
      </w:r>
      <w:r>
        <w:rPr>
          <w:rFonts w:asciiTheme="minorEastAsia" w:eastAsiaTheme="minorEastAsia" w:hAnsiTheme="minorEastAsia" w:hint="eastAsia"/>
          <w:sz w:val="24"/>
          <w:szCs w:val="24"/>
        </w:rPr>
        <w:t>黄勇</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sz w:val="24"/>
          <w:szCs w:val="24"/>
        </w:rPr>
        <w:t>(3)注册及办公地址：</w:t>
      </w:r>
      <w:r>
        <w:rPr>
          <w:rFonts w:asciiTheme="minorEastAsia" w:eastAsiaTheme="minorEastAsia" w:hAnsiTheme="minorEastAsia" w:hint="eastAsia"/>
          <w:sz w:val="24"/>
          <w:szCs w:val="24"/>
        </w:rPr>
        <w:t>广东省信宜市新里开发区二区五单元</w:t>
      </w:r>
    </w:p>
    <w:p w:rsidR="008768CC" w:rsidRDefault="008768CC" w:rsidP="008768CC">
      <w:pPr>
        <w:widowControl w:val="0"/>
        <w:spacing w:line="5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联系地址: 广东省信宜市新里开发区二区五单元</w:t>
      </w:r>
    </w:p>
    <w:p w:rsidR="008768CC" w:rsidRDefault="008768CC" w:rsidP="008768CC">
      <w:pPr>
        <w:widowControl w:val="0"/>
        <w:spacing w:line="500" w:lineRule="exact"/>
        <w:ind w:firstLineChars="100" w:firstLine="240"/>
        <w:rPr>
          <w:rFonts w:asciiTheme="minorEastAsia" w:eastAsiaTheme="minorEastAsia" w:hAnsiTheme="minorEastAsia"/>
          <w:bCs/>
          <w:sz w:val="24"/>
          <w:szCs w:val="24"/>
        </w:rPr>
      </w:pPr>
      <w:r>
        <w:rPr>
          <w:rFonts w:asciiTheme="minorEastAsia" w:eastAsiaTheme="minorEastAsia" w:hAnsiTheme="minorEastAsia" w:hint="eastAsia"/>
          <w:bCs/>
          <w:sz w:val="24"/>
          <w:szCs w:val="24"/>
        </w:rPr>
        <w:t>邮政编码：525300</w:t>
      </w:r>
    </w:p>
    <w:p w:rsidR="008768CC" w:rsidRDefault="008768CC" w:rsidP="008768CC">
      <w:pPr>
        <w:widowControl w:val="0"/>
        <w:adjustRightInd w:val="0"/>
        <w:snapToGrid w:val="0"/>
        <w:spacing w:line="5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电话：0668—8815985</w:t>
      </w:r>
    </w:p>
    <w:p w:rsidR="008768CC" w:rsidRDefault="008768CC" w:rsidP="008768CC">
      <w:pPr>
        <w:widowControl w:val="0"/>
        <w:adjustRightInd w:val="0"/>
        <w:snapToGrid w:val="0"/>
        <w:spacing w:line="5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传真：0668—8819099</w:t>
      </w:r>
    </w:p>
    <w:p w:rsidR="008768CC" w:rsidRDefault="008768CC" w:rsidP="008768CC">
      <w:pPr>
        <w:widowControl w:val="0"/>
        <w:adjustRightInd w:val="0"/>
        <w:snapToGrid w:val="0"/>
        <w:spacing w:line="5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客服和投诉电话：96138</w:t>
      </w:r>
    </w:p>
    <w:p w:rsidR="008768CC" w:rsidRDefault="008768CC" w:rsidP="008768CC">
      <w:pPr>
        <w:widowControl w:val="0"/>
        <w:adjustRightInd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b/>
          <w:sz w:val="24"/>
          <w:szCs w:val="24"/>
        </w:rPr>
        <w:t>(4)</w:t>
      </w:r>
      <w:r>
        <w:rPr>
          <w:rFonts w:asciiTheme="minorEastAsia" w:eastAsiaTheme="minorEastAsia" w:hAnsiTheme="minorEastAsia" w:hint="eastAsia"/>
          <w:b/>
          <w:sz w:val="24"/>
          <w:szCs w:val="24"/>
        </w:rPr>
        <w:t>注册资本</w:t>
      </w:r>
      <w:r>
        <w:rPr>
          <w:rFonts w:asciiTheme="minorEastAsia" w:eastAsiaTheme="minorEastAsia" w:hAnsiTheme="minorEastAsia"/>
          <w:b/>
          <w:sz w:val="24"/>
          <w:szCs w:val="24"/>
        </w:rPr>
        <w:t>:</w:t>
      </w:r>
      <w:r>
        <w:rPr>
          <w:rFonts w:asciiTheme="minorEastAsia" w:eastAsiaTheme="minorEastAsia" w:hAnsiTheme="minorEastAsia" w:hint="eastAsia"/>
          <w:sz w:val="24"/>
          <w:szCs w:val="24"/>
        </w:rPr>
        <w:t xml:space="preserve"> 人民币</w:t>
      </w:r>
      <w:proofErr w:type="gramStart"/>
      <w:r>
        <w:rPr>
          <w:rFonts w:asciiTheme="minorEastAsia" w:eastAsiaTheme="minorEastAsia" w:hAnsiTheme="minorEastAsia" w:hint="eastAsia"/>
          <w:sz w:val="24"/>
          <w:szCs w:val="24"/>
        </w:rPr>
        <w:t>陆亿壹仟壹佰玖拾柒万陆仟伍佰肆拾</w:t>
      </w:r>
      <w:proofErr w:type="gramEnd"/>
      <w:r>
        <w:rPr>
          <w:rFonts w:asciiTheme="minorEastAsia" w:eastAsiaTheme="minorEastAsia" w:hAnsiTheme="minorEastAsia" w:hint="eastAsia"/>
          <w:sz w:val="24"/>
          <w:szCs w:val="24"/>
        </w:rPr>
        <w:t>元</w:t>
      </w:r>
    </w:p>
    <w:p w:rsidR="008768CC" w:rsidRDefault="008768CC" w:rsidP="008768CC">
      <w:pPr>
        <w:widowControl w:val="0"/>
        <w:adjustRightInd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sz w:val="24"/>
          <w:szCs w:val="24"/>
        </w:rPr>
        <w:t>(5)成立日期:</w:t>
      </w:r>
      <w:r>
        <w:rPr>
          <w:rFonts w:asciiTheme="minorEastAsia" w:eastAsiaTheme="minorEastAsia" w:hAnsiTheme="minorEastAsia" w:hint="eastAsia"/>
          <w:sz w:val="24"/>
          <w:szCs w:val="24"/>
        </w:rPr>
        <w:t>2007年01月22日</w:t>
      </w:r>
    </w:p>
    <w:p w:rsidR="008768CC" w:rsidRDefault="008768CC" w:rsidP="008768CC">
      <w:pPr>
        <w:widowControl w:val="0"/>
        <w:adjustRightInd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(6)经营范围: </w:t>
      </w:r>
      <w:r>
        <w:rPr>
          <w:rFonts w:asciiTheme="minorEastAsia" w:eastAsiaTheme="minorEastAsia" w:hAnsiTheme="minorEastAsia" w:hint="eastAsia"/>
          <w:sz w:val="24"/>
          <w:szCs w:val="24"/>
        </w:rPr>
        <w:t>吸收人民币公众存款;发放人民币短期、中期和长期贷款；办理国内结算；代理发行、代理兑付政府债券；买卖政府债券、金融债券；从事同业拆借；从事银行卡（借记卡）业务；代理收付款项；办理票据承兑与贴现；经国务院银行业监督管理机构及其他相关监管机构批准的其他业务。代理：法律、法规、规章允许代理的各类财产保险及人身保险。（依法须经批准的项目，经相关部门批准后方可开展经营活动。）</w:t>
      </w:r>
    </w:p>
    <w:p w:rsidR="008768CC" w:rsidRDefault="008768CC" w:rsidP="008768CC">
      <w:pPr>
        <w:widowControl w:val="0"/>
        <w:adjustRightInd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sz w:val="24"/>
          <w:szCs w:val="24"/>
        </w:rPr>
        <w:t>(7)会计师事务所:</w:t>
      </w:r>
      <w:r>
        <w:rPr>
          <w:rFonts w:asciiTheme="minorEastAsia" w:eastAsiaTheme="minorEastAsia" w:hAnsiTheme="minorEastAsia" w:hint="eastAsia"/>
          <w:sz w:val="24"/>
          <w:szCs w:val="24"/>
        </w:rPr>
        <w:t xml:space="preserve"> 广东岭南智华会计师事务所（特殊普通合伙）</w:t>
      </w:r>
    </w:p>
    <w:p w:rsidR="008768CC" w:rsidRDefault="008768CC" w:rsidP="008768CC">
      <w:pPr>
        <w:widowControl w:val="0"/>
        <w:tabs>
          <w:tab w:val="left" w:pos="7380"/>
        </w:tabs>
        <w:adjustRightInd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办公地址:广州市南沙区南沙街兴沙路6号704房-1</w:t>
      </w:r>
      <w:r>
        <w:rPr>
          <w:rFonts w:asciiTheme="minorEastAsia" w:eastAsiaTheme="minorEastAsia" w:hAnsiTheme="minorEastAsia"/>
          <w:sz w:val="24"/>
          <w:szCs w:val="24"/>
        </w:rPr>
        <w:tab/>
      </w:r>
    </w:p>
    <w:p w:rsidR="008768CC" w:rsidRDefault="008768CC" w:rsidP="008768CC">
      <w:pPr>
        <w:widowControl w:val="0"/>
        <w:adjustRightInd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联系电话：020-83808566    </w:t>
      </w:r>
    </w:p>
    <w:p w:rsidR="008768CC" w:rsidRDefault="008768CC" w:rsidP="008768CC">
      <w:pPr>
        <w:widowControl w:val="0"/>
        <w:adjustRightInd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sz w:val="24"/>
          <w:szCs w:val="24"/>
        </w:rPr>
        <w:t>(8)法律顾问：</w:t>
      </w:r>
      <w:r>
        <w:rPr>
          <w:rFonts w:asciiTheme="minorEastAsia" w:eastAsiaTheme="minorEastAsia" w:hAnsiTheme="minorEastAsia" w:hint="eastAsia"/>
          <w:sz w:val="24"/>
          <w:szCs w:val="24"/>
        </w:rPr>
        <w:t>郭晖</w:t>
      </w:r>
    </w:p>
    <w:p w:rsidR="008768CC" w:rsidRDefault="008768CC" w:rsidP="008768CC">
      <w:pPr>
        <w:widowControl w:val="0"/>
        <w:tabs>
          <w:tab w:val="left" w:pos="4155"/>
          <w:tab w:val="left" w:pos="4680"/>
        </w:tabs>
        <w:adjustRightInd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律师事务所：广东绰盛律师事务所</w:t>
      </w:r>
      <w:r>
        <w:rPr>
          <w:rFonts w:asciiTheme="minorEastAsia" w:eastAsiaTheme="minorEastAsia" w:hAnsiTheme="minorEastAsia"/>
          <w:sz w:val="24"/>
          <w:szCs w:val="24"/>
        </w:rPr>
        <w:tab/>
      </w:r>
      <w:r>
        <w:rPr>
          <w:rFonts w:asciiTheme="minorEastAsia" w:eastAsiaTheme="minorEastAsia" w:hAnsiTheme="minorEastAsia"/>
          <w:sz w:val="24"/>
          <w:szCs w:val="24"/>
        </w:rPr>
        <w:tab/>
      </w:r>
    </w:p>
    <w:p w:rsidR="008768CC" w:rsidRDefault="008768CC" w:rsidP="008768CC">
      <w:pPr>
        <w:widowControl w:val="0"/>
        <w:adjustRightInd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办公地址：信宜市区迎宾大道与人民南路交汇处天福便利店</w:t>
      </w:r>
      <w:proofErr w:type="gramStart"/>
      <w:r>
        <w:rPr>
          <w:rFonts w:asciiTheme="minorEastAsia" w:eastAsiaTheme="minorEastAsia" w:hAnsiTheme="minorEastAsia" w:hint="eastAsia"/>
          <w:sz w:val="24"/>
          <w:szCs w:val="24"/>
        </w:rPr>
        <w:t>楼上五</w:t>
      </w:r>
      <w:proofErr w:type="gramEnd"/>
      <w:r>
        <w:rPr>
          <w:rFonts w:asciiTheme="minorEastAsia" w:eastAsiaTheme="minorEastAsia" w:hAnsiTheme="minorEastAsia" w:hint="eastAsia"/>
          <w:sz w:val="24"/>
          <w:szCs w:val="24"/>
        </w:rPr>
        <w:t>楼</w:t>
      </w:r>
    </w:p>
    <w:p w:rsidR="008768CC" w:rsidRDefault="008768CC" w:rsidP="008768CC">
      <w:pPr>
        <w:widowControl w:val="0"/>
        <w:adjustRightInd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联系电话：</w:t>
      </w:r>
      <w:r>
        <w:rPr>
          <w:rFonts w:asciiTheme="minorEastAsia" w:eastAsiaTheme="minorEastAsia" w:hAnsiTheme="minorEastAsia"/>
          <w:sz w:val="24"/>
          <w:szCs w:val="24"/>
        </w:rPr>
        <w:t>0668-8838968</w:t>
      </w:r>
    </w:p>
    <w:p w:rsidR="008768CC" w:rsidRDefault="008768CC" w:rsidP="008768CC">
      <w:pPr>
        <w:widowControl w:val="0"/>
        <w:spacing w:line="500" w:lineRule="exact"/>
        <w:ind w:firstLineChars="0" w:firstLine="0"/>
        <w:rPr>
          <w:rFonts w:asciiTheme="minorEastAsia" w:eastAsiaTheme="minorEastAsia" w:hAnsiTheme="minorEastAsia" w:cs="Courier New"/>
          <w:b/>
          <w:sz w:val="24"/>
          <w:szCs w:val="24"/>
        </w:rPr>
      </w:pPr>
      <w:r>
        <w:rPr>
          <w:rFonts w:asciiTheme="minorEastAsia" w:eastAsiaTheme="minorEastAsia" w:hAnsiTheme="minorEastAsia" w:hint="eastAsia"/>
          <w:b/>
          <w:sz w:val="24"/>
          <w:szCs w:val="24"/>
        </w:rPr>
        <w:t>(9)</w:t>
      </w:r>
      <w:r>
        <w:rPr>
          <w:rFonts w:asciiTheme="minorEastAsia" w:eastAsiaTheme="minorEastAsia" w:hAnsiTheme="minorEastAsia" w:cs="Courier New" w:hint="eastAsia"/>
          <w:b/>
          <w:sz w:val="24"/>
          <w:szCs w:val="24"/>
        </w:rPr>
        <w:t>本行选定的信息披露渠道</w:t>
      </w:r>
    </w:p>
    <w:p w:rsidR="008768CC" w:rsidRDefault="008768CC" w:rsidP="008768CC">
      <w:pPr>
        <w:widowControl w:val="0"/>
        <w:adjustRightInd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年度报告及备查文件备置地点：本行董事会办公室及各支行营业部</w:t>
      </w:r>
    </w:p>
    <w:p w:rsidR="008768CC" w:rsidRDefault="008768CC" w:rsidP="008768CC">
      <w:pPr>
        <w:widowControl w:val="0"/>
        <w:adjustRightInd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年度股东大会：关于广东信宜农村商业银行股份有限公司2023年年度报告的提案</w:t>
      </w:r>
    </w:p>
    <w:p w:rsidR="008768CC" w:rsidRDefault="008768CC" w:rsidP="008768CC">
      <w:pPr>
        <w:widowControl w:val="0"/>
        <w:adjustRightInd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本行官方网站：http://www.gdxynsyh.com/xinyi/</w:t>
      </w:r>
    </w:p>
    <w:p w:rsidR="008768CC" w:rsidRDefault="008768CC" w:rsidP="008768CC">
      <w:pPr>
        <w:widowControl w:val="0"/>
        <w:spacing w:line="500" w:lineRule="exact"/>
        <w:ind w:firstLineChars="0" w:firstLine="0"/>
        <w:rPr>
          <w:rFonts w:asciiTheme="minorEastAsia" w:eastAsiaTheme="minorEastAsia" w:hAnsiTheme="minorEastAsia" w:cs="Courier New"/>
          <w:b/>
          <w:sz w:val="24"/>
          <w:szCs w:val="24"/>
        </w:rPr>
      </w:pPr>
      <w:r>
        <w:rPr>
          <w:rFonts w:asciiTheme="minorEastAsia" w:eastAsiaTheme="minorEastAsia" w:hAnsiTheme="minorEastAsia" w:hint="eastAsia"/>
          <w:b/>
          <w:sz w:val="24"/>
          <w:szCs w:val="24"/>
        </w:rPr>
        <w:t>(10)</w:t>
      </w:r>
      <w:r>
        <w:rPr>
          <w:rFonts w:asciiTheme="minorEastAsia" w:eastAsiaTheme="minorEastAsia" w:hAnsiTheme="minorEastAsia" w:cs="Courier New" w:hint="eastAsia"/>
          <w:b/>
          <w:sz w:val="24"/>
          <w:szCs w:val="24"/>
        </w:rPr>
        <w:t>其他信息</w:t>
      </w:r>
    </w:p>
    <w:p w:rsidR="008768CC" w:rsidRDefault="008768CC" w:rsidP="008768CC">
      <w:pPr>
        <w:widowControl w:val="0"/>
        <w:adjustRightInd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注册登记机关：茂名市市场监督管理局</w:t>
      </w:r>
    </w:p>
    <w:p w:rsidR="008768CC" w:rsidRDefault="008768CC" w:rsidP="008768CC">
      <w:pPr>
        <w:widowControl w:val="0"/>
        <w:adjustRightInd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统一社会信用代码：91440983X18332804Q</w:t>
      </w:r>
    </w:p>
    <w:p w:rsidR="008768CC" w:rsidRDefault="008768CC" w:rsidP="008768CC">
      <w:pPr>
        <w:widowControl w:val="0"/>
        <w:adjustRightInd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金融许可证机构编码：B1650H344090001</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p>
    <w:p w:rsidR="008768CC" w:rsidRDefault="008768CC" w:rsidP="008768CC">
      <w:pPr>
        <w:widowControl w:val="0"/>
        <w:adjustRightInd w:val="0"/>
        <w:snapToGrid w:val="0"/>
        <w:spacing w:line="500" w:lineRule="exact"/>
        <w:ind w:firstLineChars="0" w:firstLine="0"/>
        <w:rPr>
          <w:rFonts w:asciiTheme="minorEastAsia" w:eastAsiaTheme="minorEastAsia" w:hAnsiTheme="minorEastAsia"/>
          <w:sz w:val="24"/>
          <w:szCs w:val="24"/>
        </w:rPr>
      </w:pP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p>
    <w:p w:rsidR="008768CC" w:rsidRDefault="008768CC" w:rsidP="008768CC">
      <w:pPr>
        <w:widowControl w:val="0"/>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b/>
          <w:sz w:val="24"/>
          <w:szCs w:val="24"/>
        </w:rPr>
        <w:br w:type="page"/>
      </w:r>
      <w:r>
        <w:rPr>
          <w:rFonts w:asciiTheme="minorEastAsia" w:eastAsiaTheme="minorEastAsia" w:hAnsiTheme="minorEastAsia"/>
          <w:b/>
          <w:sz w:val="24"/>
          <w:szCs w:val="24"/>
        </w:rPr>
        <w:lastRenderedPageBreak/>
        <w:t>7</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 xml:space="preserve">财务概要 </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7.1</w:t>
      </w:r>
      <w:r>
        <w:rPr>
          <w:rFonts w:asciiTheme="minorEastAsia" w:eastAsiaTheme="minorEastAsia" w:hAnsiTheme="minorEastAsia" w:cs="宋体" w:hint="eastAsia"/>
          <w:b/>
          <w:kern w:val="0"/>
          <w:sz w:val="24"/>
          <w:szCs w:val="24"/>
        </w:rPr>
        <w:t xml:space="preserve"> </w:t>
      </w:r>
      <w:r>
        <w:rPr>
          <w:rFonts w:asciiTheme="minorEastAsia" w:eastAsiaTheme="minorEastAsia" w:hAnsiTheme="minorEastAsia" w:cs="宋体"/>
          <w:b/>
          <w:kern w:val="0"/>
          <w:sz w:val="24"/>
          <w:szCs w:val="24"/>
        </w:rPr>
        <w:t xml:space="preserve">报告期内主要财务数据 </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20" w:after="62"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                                                      </w:t>
      </w:r>
      <w:r>
        <w:rPr>
          <w:rFonts w:asciiTheme="minorEastAsia" w:eastAsiaTheme="minorEastAsia" w:hAnsiTheme="minorEastAsia" w:cs="宋体"/>
          <w:kern w:val="0"/>
          <w:sz w:val="24"/>
          <w:szCs w:val="24"/>
        </w:rPr>
        <w:t>单位：人民币万元</w:t>
      </w:r>
      <w:r>
        <w:rPr>
          <w:rFonts w:asciiTheme="minorEastAsia" w:eastAsiaTheme="minorEastAsia" w:hAnsiTheme="minorEastAsia" w:cs="宋体" w:hint="eastAsia"/>
          <w:kern w:val="0"/>
          <w:sz w:val="24"/>
          <w:szCs w:val="24"/>
        </w:rPr>
        <w:t xml:space="preserve">    </w:t>
      </w:r>
      <w:r>
        <w:rPr>
          <w:rFonts w:asciiTheme="minorEastAsia" w:eastAsiaTheme="minorEastAsia" w:hAnsiTheme="minorEastAsia" w:cs="宋体"/>
          <w:kern w:val="0"/>
          <w:sz w:val="24"/>
          <w:szCs w:val="24"/>
        </w:rPr>
        <w:t xml:space="preserve"> </w:t>
      </w:r>
    </w:p>
    <w:tbl>
      <w:tblPr>
        <w:tblW w:w="4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3735"/>
      </w:tblGrid>
      <w:tr w:rsidR="008768CC" w:rsidTr="00293A0E">
        <w:trPr>
          <w:trHeight w:val="420"/>
          <w:jc w:val="center"/>
        </w:trPr>
        <w:tc>
          <w:tcPr>
            <w:tcW w:w="2827"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b/>
                <w:sz w:val="24"/>
                <w:szCs w:val="24"/>
              </w:rPr>
              <w:t>项</w:t>
            </w:r>
            <w:r>
              <w:rPr>
                <w:rFonts w:asciiTheme="minorEastAsia" w:eastAsiaTheme="minorEastAsia" w:hAnsiTheme="minorEastAsia" w:hint="eastAsia"/>
                <w:b/>
                <w:sz w:val="24"/>
                <w:szCs w:val="24"/>
              </w:rPr>
              <w:t xml:space="preserve">    </w:t>
            </w:r>
            <w:r>
              <w:rPr>
                <w:rFonts w:asciiTheme="minorEastAsia" w:eastAsiaTheme="minorEastAsia" w:hAnsiTheme="minorEastAsia"/>
                <w:b/>
                <w:sz w:val="24"/>
                <w:szCs w:val="24"/>
              </w:rPr>
              <w:t>目</w:t>
            </w:r>
          </w:p>
        </w:tc>
        <w:tc>
          <w:tcPr>
            <w:tcW w:w="2172"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2023年</w:t>
            </w:r>
          </w:p>
        </w:tc>
      </w:tr>
      <w:tr w:rsidR="008768CC" w:rsidTr="00293A0E">
        <w:trPr>
          <w:trHeight w:val="420"/>
          <w:jc w:val="center"/>
        </w:trPr>
        <w:tc>
          <w:tcPr>
            <w:tcW w:w="2827" w:type="pct"/>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利息净收入</w:t>
            </w:r>
          </w:p>
        </w:tc>
        <w:tc>
          <w:tcPr>
            <w:tcW w:w="2172" w:type="pct"/>
            <w:vAlign w:val="center"/>
          </w:tcPr>
          <w:p w:rsidR="008768CC" w:rsidRDefault="008768CC" w:rsidP="008768CC">
            <w:pPr>
              <w:widowControl w:val="0"/>
              <w:spacing w:line="480" w:lineRule="exact"/>
              <w:ind w:rightChars="358" w:right="1146"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58,608.88</w:t>
            </w:r>
          </w:p>
        </w:tc>
      </w:tr>
      <w:tr w:rsidR="008768CC" w:rsidTr="00293A0E">
        <w:trPr>
          <w:trHeight w:val="420"/>
          <w:jc w:val="center"/>
        </w:trPr>
        <w:tc>
          <w:tcPr>
            <w:tcW w:w="2827" w:type="pct"/>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手续费及佣金净收入</w:t>
            </w:r>
          </w:p>
        </w:tc>
        <w:tc>
          <w:tcPr>
            <w:tcW w:w="2172" w:type="pct"/>
            <w:vAlign w:val="center"/>
          </w:tcPr>
          <w:p w:rsidR="008768CC" w:rsidRDefault="008768CC" w:rsidP="008768CC">
            <w:pPr>
              <w:widowControl w:val="0"/>
              <w:spacing w:line="480" w:lineRule="exact"/>
              <w:ind w:rightChars="358" w:right="1146"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127.99</w:t>
            </w:r>
          </w:p>
        </w:tc>
      </w:tr>
      <w:tr w:rsidR="008768CC" w:rsidTr="00293A0E">
        <w:trPr>
          <w:trHeight w:val="420"/>
          <w:jc w:val="center"/>
        </w:trPr>
        <w:tc>
          <w:tcPr>
            <w:tcW w:w="2827" w:type="pct"/>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经营利润</w:t>
            </w:r>
          </w:p>
        </w:tc>
        <w:tc>
          <w:tcPr>
            <w:tcW w:w="2172" w:type="pct"/>
            <w:vAlign w:val="center"/>
          </w:tcPr>
          <w:p w:rsidR="008768CC" w:rsidRDefault="008768CC" w:rsidP="008768CC">
            <w:pPr>
              <w:widowControl w:val="0"/>
              <w:spacing w:line="480" w:lineRule="exact"/>
              <w:ind w:rightChars="358" w:right="1146"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34,296.95</w:t>
            </w:r>
          </w:p>
        </w:tc>
      </w:tr>
      <w:tr w:rsidR="008768CC" w:rsidTr="00293A0E">
        <w:trPr>
          <w:trHeight w:val="420"/>
          <w:jc w:val="center"/>
        </w:trPr>
        <w:tc>
          <w:tcPr>
            <w:tcW w:w="2827" w:type="pct"/>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营业外收支净额</w:t>
            </w:r>
          </w:p>
        </w:tc>
        <w:tc>
          <w:tcPr>
            <w:tcW w:w="2172" w:type="pct"/>
            <w:vAlign w:val="center"/>
          </w:tcPr>
          <w:p w:rsidR="008768CC" w:rsidRDefault="008768CC" w:rsidP="008768CC">
            <w:pPr>
              <w:widowControl w:val="0"/>
              <w:spacing w:line="480" w:lineRule="exact"/>
              <w:ind w:rightChars="358" w:right="1146"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-39.30</w:t>
            </w:r>
          </w:p>
        </w:tc>
      </w:tr>
      <w:tr w:rsidR="008768CC" w:rsidTr="00293A0E">
        <w:trPr>
          <w:trHeight w:val="420"/>
          <w:jc w:val="center"/>
        </w:trPr>
        <w:tc>
          <w:tcPr>
            <w:tcW w:w="2827" w:type="pct"/>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利润总额</w:t>
            </w:r>
          </w:p>
        </w:tc>
        <w:tc>
          <w:tcPr>
            <w:tcW w:w="2172" w:type="pct"/>
            <w:vAlign w:val="center"/>
          </w:tcPr>
          <w:p w:rsidR="008768CC" w:rsidRDefault="008768CC" w:rsidP="008768CC">
            <w:pPr>
              <w:widowControl w:val="0"/>
              <w:spacing w:line="480" w:lineRule="exact"/>
              <w:ind w:rightChars="358" w:right="1146"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21,304.20</w:t>
            </w:r>
          </w:p>
        </w:tc>
      </w:tr>
      <w:tr w:rsidR="008768CC" w:rsidTr="00293A0E">
        <w:trPr>
          <w:trHeight w:val="420"/>
          <w:jc w:val="center"/>
        </w:trPr>
        <w:tc>
          <w:tcPr>
            <w:tcW w:w="2827" w:type="pct"/>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净利润</w:t>
            </w:r>
          </w:p>
        </w:tc>
        <w:tc>
          <w:tcPr>
            <w:tcW w:w="2172" w:type="pct"/>
            <w:vAlign w:val="center"/>
          </w:tcPr>
          <w:p w:rsidR="008768CC" w:rsidRDefault="008768CC" w:rsidP="008768CC">
            <w:pPr>
              <w:widowControl w:val="0"/>
              <w:spacing w:line="480" w:lineRule="exact"/>
              <w:ind w:rightChars="358" w:right="1146"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15</w:t>
            </w:r>
            <w:r>
              <w:rPr>
                <w:rFonts w:asciiTheme="minorEastAsia" w:eastAsiaTheme="minorEastAsia" w:hAnsiTheme="minorEastAsia" w:hint="eastAsia"/>
                <w:sz w:val="24"/>
                <w:szCs w:val="24"/>
              </w:rPr>
              <w:t>,</w:t>
            </w:r>
            <w:r>
              <w:rPr>
                <w:rFonts w:asciiTheme="minorEastAsia" w:eastAsiaTheme="minorEastAsia" w:hAnsiTheme="minorEastAsia"/>
                <w:sz w:val="24"/>
                <w:szCs w:val="24"/>
              </w:rPr>
              <w:t>945.9</w:t>
            </w:r>
            <w:r>
              <w:rPr>
                <w:rFonts w:asciiTheme="minorEastAsia" w:eastAsiaTheme="minorEastAsia" w:hAnsiTheme="minorEastAsia" w:hint="eastAsia"/>
                <w:sz w:val="24"/>
                <w:szCs w:val="24"/>
              </w:rPr>
              <w:t>5</w:t>
            </w:r>
          </w:p>
        </w:tc>
      </w:tr>
      <w:tr w:rsidR="008768CC" w:rsidTr="00293A0E">
        <w:trPr>
          <w:trHeight w:val="440"/>
          <w:jc w:val="center"/>
        </w:trPr>
        <w:tc>
          <w:tcPr>
            <w:tcW w:w="2827" w:type="pct"/>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经营活动产生的现金流量净额</w:t>
            </w:r>
          </w:p>
        </w:tc>
        <w:tc>
          <w:tcPr>
            <w:tcW w:w="2172" w:type="pct"/>
            <w:vAlign w:val="center"/>
          </w:tcPr>
          <w:p w:rsidR="008768CC" w:rsidRDefault="008768CC" w:rsidP="008768CC">
            <w:pPr>
              <w:widowControl w:val="0"/>
              <w:spacing w:line="480" w:lineRule="exact"/>
              <w:ind w:rightChars="358" w:right="1146"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127</w:t>
            </w:r>
            <w:r>
              <w:rPr>
                <w:rFonts w:asciiTheme="minorEastAsia" w:eastAsiaTheme="minorEastAsia" w:hAnsiTheme="minorEastAsia" w:hint="eastAsia"/>
                <w:sz w:val="24"/>
                <w:szCs w:val="24"/>
              </w:rPr>
              <w:t>,</w:t>
            </w:r>
            <w:r>
              <w:rPr>
                <w:rFonts w:asciiTheme="minorEastAsia" w:eastAsiaTheme="minorEastAsia" w:hAnsiTheme="minorEastAsia"/>
                <w:sz w:val="24"/>
                <w:szCs w:val="24"/>
              </w:rPr>
              <w:t>638.49</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 xml:space="preserve">7.2 </w:t>
      </w:r>
      <w:r>
        <w:rPr>
          <w:rFonts w:asciiTheme="minorEastAsia" w:eastAsiaTheme="minorEastAsia" w:hAnsiTheme="minorEastAsia" w:cs="宋体" w:hint="eastAsia"/>
          <w:b/>
          <w:kern w:val="0"/>
          <w:sz w:val="24"/>
          <w:szCs w:val="24"/>
        </w:rPr>
        <w:t>报告期末前三年主要会计数据和财务指标</w:t>
      </w:r>
      <w:r>
        <w:rPr>
          <w:rFonts w:asciiTheme="minorEastAsia" w:eastAsiaTheme="minorEastAsia" w:hAnsiTheme="minorEastAsia" w:cs="宋体"/>
          <w:b/>
          <w:kern w:val="0"/>
          <w:sz w:val="24"/>
          <w:szCs w:val="24"/>
        </w:rPr>
        <w:t xml:space="preserve"> </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56"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                                                  单位：人民币万元、</w:t>
      </w:r>
      <w:r>
        <w:rPr>
          <w:rFonts w:asciiTheme="minorEastAsia" w:eastAsiaTheme="minorEastAsia" w:hAnsiTheme="minorEastAsia" w:cs="宋体"/>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27"/>
        <w:gridCol w:w="2027"/>
        <w:gridCol w:w="2027"/>
      </w:tblGrid>
      <w:tr w:rsidR="008768CC" w:rsidTr="00293A0E">
        <w:trPr>
          <w:trHeight w:val="187"/>
          <w:jc w:val="center"/>
        </w:trPr>
        <w:tc>
          <w:tcPr>
            <w:tcW w:w="0" w:type="auto"/>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项目</w:t>
            </w:r>
          </w:p>
        </w:tc>
        <w:tc>
          <w:tcPr>
            <w:tcW w:w="0" w:type="auto"/>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b/>
                <w:sz w:val="24"/>
                <w:szCs w:val="24"/>
              </w:rPr>
              <w:t>202</w:t>
            </w:r>
            <w:r>
              <w:rPr>
                <w:rFonts w:asciiTheme="minorEastAsia" w:eastAsiaTheme="minorEastAsia" w:hAnsiTheme="minorEastAsia" w:hint="eastAsia"/>
                <w:b/>
                <w:sz w:val="24"/>
                <w:szCs w:val="24"/>
              </w:rPr>
              <w:t>3年</w:t>
            </w:r>
          </w:p>
        </w:tc>
        <w:tc>
          <w:tcPr>
            <w:tcW w:w="0" w:type="auto"/>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b/>
                <w:sz w:val="24"/>
                <w:szCs w:val="24"/>
              </w:rPr>
              <w:t>202</w:t>
            </w:r>
            <w:r>
              <w:rPr>
                <w:rFonts w:asciiTheme="minorEastAsia" w:eastAsiaTheme="minorEastAsia" w:hAnsiTheme="minorEastAsia" w:hint="eastAsia"/>
                <w:b/>
                <w:sz w:val="24"/>
                <w:szCs w:val="24"/>
              </w:rPr>
              <w:t>2年</w:t>
            </w:r>
          </w:p>
        </w:tc>
        <w:tc>
          <w:tcPr>
            <w:tcW w:w="0" w:type="auto"/>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b/>
                <w:sz w:val="24"/>
                <w:szCs w:val="24"/>
              </w:rPr>
              <w:t>20</w:t>
            </w:r>
            <w:r>
              <w:rPr>
                <w:rFonts w:asciiTheme="minorEastAsia" w:eastAsiaTheme="minorEastAsia" w:hAnsiTheme="minorEastAsia" w:hint="eastAsia"/>
                <w:b/>
                <w:sz w:val="24"/>
                <w:szCs w:val="24"/>
              </w:rPr>
              <w:t>21年</w:t>
            </w:r>
          </w:p>
        </w:tc>
      </w:tr>
      <w:tr w:rsidR="008768CC" w:rsidTr="00293A0E">
        <w:trPr>
          <w:trHeight w:val="187"/>
          <w:jc w:val="center"/>
        </w:trPr>
        <w:tc>
          <w:tcPr>
            <w:tcW w:w="0" w:type="auto"/>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营业净收入</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61,689.23</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60,586.65</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 xml:space="preserve">60,719.22 </w:t>
            </w:r>
          </w:p>
        </w:tc>
      </w:tr>
      <w:tr w:rsidR="008768CC" w:rsidTr="00293A0E">
        <w:trPr>
          <w:trHeight w:val="187"/>
          <w:jc w:val="center"/>
        </w:trPr>
        <w:tc>
          <w:tcPr>
            <w:tcW w:w="0" w:type="auto"/>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利润总额</w:t>
            </w:r>
            <w:r>
              <w:rPr>
                <w:rFonts w:asciiTheme="minorEastAsia" w:eastAsiaTheme="minorEastAsia" w:hAnsiTheme="minorEastAsia"/>
                <w:sz w:val="24"/>
                <w:szCs w:val="24"/>
              </w:rPr>
              <w:t xml:space="preserve"> </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21,304.20</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22,024.59</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 xml:space="preserve">22,705.46 </w:t>
            </w:r>
          </w:p>
        </w:tc>
      </w:tr>
      <w:tr w:rsidR="008768CC" w:rsidTr="00293A0E">
        <w:trPr>
          <w:trHeight w:val="187"/>
          <w:jc w:val="center"/>
        </w:trPr>
        <w:tc>
          <w:tcPr>
            <w:tcW w:w="0" w:type="auto"/>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净利润</w:t>
            </w:r>
            <w:r>
              <w:rPr>
                <w:rFonts w:asciiTheme="minorEastAsia" w:eastAsiaTheme="minorEastAsia" w:hAnsiTheme="minorEastAsia"/>
                <w:sz w:val="24"/>
                <w:szCs w:val="24"/>
              </w:rPr>
              <w:t xml:space="preserve"> </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sz w:val="24"/>
                <w:szCs w:val="24"/>
              </w:rPr>
              <w:t>15,945.95</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17</w:t>
            </w: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lang w:eastAsia="en-US"/>
              </w:rPr>
              <w:t>523.19</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 xml:space="preserve">17,096.85 </w:t>
            </w:r>
          </w:p>
        </w:tc>
      </w:tr>
      <w:tr w:rsidR="008768CC" w:rsidTr="00293A0E">
        <w:trPr>
          <w:trHeight w:val="187"/>
          <w:jc w:val="center"/>
        </w:trPr>
        <w:tc>
          <w:tcPr>
            <w:tcW w:w="0" w:type="auto"/>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资产总额</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2,721,994.81</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2,671,220.41</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 xml:space="preserve">2,482,553.28 </w:t>
            </w:r>
          </w:p>
        </w:tc>
      </w:tr>
      <w:tr w:rsidR="008768CC" w:rsidTr="00293A0E">
        <w:trPr>
          <w:trHeight w:val="187"/>
          <w:jc w:val="center"/>
        </w:trPr>
        <w:tc>
          <w:tcPr>
            <w:tcW w:w="0" w:type="auto"/>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负债总额</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2,526,790.62</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2,481,168.03</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 xml:space="preserve">2,300,413.61 </w:t>
            </w:r>
          </w:p>
        </w:tc>
      </w:tr>
      <w:tr w:rsidR="008768CC" w:rsidTr="00293A0E">
        <w:trPr>
          <w:trHeight w:val="187"/>
          <w:jc w:val="center"/>
        </w:trPr>
        <w:tc>
          <w:tcPr>
            <w:tcW w:w="0" w:type="auto"/>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存款余额</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2,452,265.96</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2,392,346.55</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 xml:space="preserve">2,218,506.68 </w:t>
            </w:r>
          </w:p>
        </w:tc>
      </w:tr>
      <w:tr w:rsidR="008768CC" w:rsidTr="00293A0E">
        <w:trPr>
          <w:trHeight w:val="187"/>
          <w:jc w:val="center"/>
        </w:trPr>
        <w:tc>
          <w:tcPr>
            <w:tcW w:w="0" w:type="auto"/>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贷款余额</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1,370,750.24</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1,351,163.38</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 xml:space="preserve">1,245,481.63 </w:t>
            </w:r>
          </w:p>
        </w:tc>
      </w:tr>
      <w:tr w:rsidR="008768CC" w:rsidTr="00293A0E">
        <w:trPr>
          <w:trHeight w:val="187"/>
          <w:jc w:val="center"/>
        </w:trPr>
        <w:tc>
          <w:tcPr>
            <w:tcW w:w="0" w:type="auto"/>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所有者权益</w:t>
            </w:r>
            <w:r>
              <w:rPr>
                <w:rFonts w:asciiTheme="minorEastAsia" w:eastAsiaTheme="minorEastAsia" w:hAnsiTheme="minorEastAsia"/>
                <w:sz w:val="24"/>
                <w:szCs w:val="24"/>
              </w:rPr>
              <w:t xml:space="preserve"> </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195,204.19</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190,052.38</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182,139.67</w:t>
            </w:r>
          </w:p>
        </w:tc>
      </w:tr>
      <w:tr w:rsidR="008768CC" w:rsidTr="00293A0E">
        <w:trPr>
          <w:trHeight w:val="187"/>
          <w:jc w:val="center"/>
        </w:trPr>
        <w:tc>
          <w:tcPr>
            <w:tcW w:w="0" w:type="auto"/>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基本每股收益（元）</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0.26</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0.29</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0.28</w:t>
            </w:r>
          </w:p>
        </w:tc>
      </w:tr>
      <w:tr w:rsidR="008768CC" w:rsidTr="00293A0E">
        <w:trPr>
          <w:trHeight w:val="325"/>
          <w:jc w:val="center"/>
        </w:trPr>
        <w:tc>
          <w:tcPr>
            <w:tcW w:w="0" w:type="auto"/>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每股净资产</w:t>
            </w:r>
            <w:r>
              <w:rPr>
                <w:rFonts w:asciiTheme="minorEastAsia" w:eastAsiaTheme="minorEastAsia" w:hAnsiTheme="minorEastAsia"/>
                <w:sz w:val="24"/>
                <w:szCs w:val="24"/>
              </w:rPr>
              <w:t xml:space="preserve">(元) </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3.19</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3.11</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3.04</w:t>
            </w:r>
          </w:p>
        </w:tc>
      </w:tr>
      <w:tr w:rsidR="008768CC" w:rsidTr="00293A0E">
        <w:trPr>
          <w:trHeight w:val="325"/>
          <w:jc w:val="center"/>
        </w:trPr>
        <w:tc>
          <w:tcPr>
            <w:tcW w:w="0" w:type="auto"/>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资产收益率</w:t>
            </w:r>
            <w:r>
              <w:rPr>
                <w:rFonts w:asciiTheme="minorEastAsia" w:eastAsiaTheme="minorEastAsia" w:hAnsiTheme="minorEastAsia"/>
                <w:sz w:val="24"/>
                <w:szCs w:val="24"/>
              </w:rPr>
              <w:t xml:space="preserve"> </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0.61</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0.68</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0.72</w:t>
            </w:r>
          </w:p>
        </w:tc>
      </w:tr>
      <w:tr w:rsidR="008768CC" w:rsidTr="00293A0E">
        <w:trPr>
          <w:trHeight w:val="90"/>
          <w:jc w:val="center"/>
        </w:trPr>
        <w:tc>
          <w:tcPr>
            <w:tcW w:w="0" w:type="auto"/>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资本利润率</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8.56</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9.49</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9.60</w:t>
            </w:r>
          </w:p>
        </w:tc>
      </w:tr>
      <w:tr w:rsidR="008768CC" w:rsidTr="00293A0E">
        <w:trPr>
          <w:trHeight w:val="190"/>
          <w:jc w:val="center"/>
        </w:trPr>
        <w:tc>
          <w:tcPr>
            <w:tcW w:w="0" w:type="auto"/>
            <w:vAlign w:val="center"/>
          </w:tcPr>
          <w:p w:rsidR="008768CC" w:rsidRDefault="008768CC" w:rsidP="00293A0E">
            <w:pPr>
              <w:widowControl w:val="0"/>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成本收入比</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43.89</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45.39</w:t>
            </w:r>
          </w:p>
        </w:tc>
        <w:tc>
          <w:tcPr>
            <w:tcW w:w="0" w:type="auto"/>
            <w:vAlign w:val="center"/>
          </w:tcPr>
          <w:p w:rsidR="008768CC" w:rsidRDefault="008768CC" w:rsidP="008768CC">
            <w:pPr>
              <w:widowControl w:val="0"/>
              <w:tabs>
                <w:tab w:val="left" w:pos="1628"/>
              </w:tabs>
              <w:spacing w:line="480" w:lineRule="exact"/>
              <w:ind w:rightChars="116" w:right="371"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44.92</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30" w:before="93"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注：</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按照企业会计准则和《公开发行证券的公司信息披露编报规则第</w:t>
      </w:r>
      <w:r>
        <w:rPr>
          <w:rFonts w:asciiTheme="minorEastAsia" w:eastAsiaTheme="minorEastAsia" w:hAnsiTheme="minorEastAsia" w:cs="宋体"/>
          <w:kern w:val="0"/>
          <w:sz w:val="24"/>
          <w:szCs w:val="24"/>
        </w:rPr>
        <w:t>9</w:t>
      </w:r>
      <w:r>
        <w:rPr>
          <w:rFonts w:asciiTheme="minorEastAsia" w:eastAsiaTheme="minorEastAsia" w:hAnsiTheme="minorEastAsia" w:cs="宋体" w:hint="eastAsia"/>
          <w:kern w:val="0"/>
          <w:sz w:val="24"/>
          <w:szCs w:val="24"/>
        </w:rPr>
        <w:t>号</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净资产收益率和每股收益的计算及披露》</w:t>
      </w:r>
      <w:r>
        <w:rPr>
          <w:rFonts w:asciiTheme="minorEastAsia" w:eastAsiaTheme="minorEastAsia" w:hAnsiTheme="minorEastAsia" w:cs="宋体"/>
          <w:kern w:val="0"/>
          <w:sz w:val="24"/>
          <w:szCs w:val="24"/>
        </w:rPr>
        <w:t xml:space="preserve">(2010 </w:t>
      </w:r>
      <w:r>
        <w:rPr>
          <w:rFonts w:asciiTheme="minorEastAsia" w:eastAsiaTheme="minorEastAsia" w:hAnsiTheme="minorEastAsia" w:cs="宋体" w:hint="eastAsia"/>
          <w:kern w:val="0"/>
          <w:sz w:val="24"/>
          <w:szCs w:val="24"/>
        </w:rPr>
        <w:t>年修订</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的要求调整了股数，重新计算了各报告期间的每股收益；</w:t>
      </w:r>
      <w:r>
        <w:rPr>
          <w:rFonts w:asciiTheme="minorEastAsia" w:eastAsiaTheme="minorEastAsia" w:hAnsiTheme="minorEastAsia" w:cs="宋体"/>
          <w:kern w:val="0"/>
          <w:sz w:val="24"/>
          <w:szCs w:val="24"/>
        </w:rPr>
        <w:t xml:space="preserve"> </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每股净资产</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所有者权益</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股本；</w:t>
      </w:r>
      <w:r>
        <w:rPr>
          <w:rFonts w:asciiTheme="minorEastAsia" w:eastAsiaTheme="minorEastAsia" w:hAnsiTheme="minorEastAsia" w:cs="宋体"/>
          <w:kern w:val="0"/>
          <w:sz w:val="24"/>
          <w:szCs w:val="24"/>
        </w:rPr>
        <w:t xml:space="preserve"> </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r>
        <w:rPr>
          <w:rFonts w:asciiTheme="minorEastAsia" w:eastAsiaTheme="minorEastAsia" w:hAnsiTheme="minorEastAsia" w:cs="宋体" w:hint="eastAsia"/>
          <w:kern w:val="0"/>
          <w:sz w:val="24"/>
          <w:szCs w:val="24"/>
        </w:rPr>
        <w:t>资产收益率</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净利润</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资产平均余额</w:t>
      </w:r>
      <w:r>
        <w:rPr>
          <w:rFonts w:asciiTheme="minorEastAsia" w:eastAsiaTheme="minorEastAsia" w:hAnsiTheme="minorEastAsia" w:cs="宋体"/>
          <w:kern w:val="0"/>
          <w:sz w:val="24"/>
          <w:szCs w:val="24"/>
        </w:rPr>
        <w:t>*100%</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 xml:space="preserve"> </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4.</w:t>
      </w:r>
      <w:r>
        <w:rPr>
          <w:rFonts w:asciiTheme="minorEastAsia" w:eastAsiaTheme="minorEastAsia" w:hAnsiTheme="minorEastAsia" w:cs="宋体" w:hint="eastAsia"/>
          <w:kern w:val="0"/>
          <w:sz w:val="24"/>
          <w:szCs w:val="24"/>
        </w:rPr>
        <w:t>按照企业会计准则和《公开发行证券的公司信息披露编报规则第</w:t>
      </w:r>
      <w:r>
        <w:rPr>
          <w:rFonts w:asciiTheme="minorEastAsia" w:eastAsiaTheme="minorEastAsia" w:hAnsiTheme="minorEastAsia" w:cs="宋体"/>
          <w:kern w:val="0"/>
          <w:sz w:val="24"/>
          <w:szCs w:val="24"/>
        </w:rPr>
        <w:t>9</w:t>
      </w:r>
      <w:r>
        <w:rPr>
          <w:rFonts w:asciiTheme="minorEastAsia" w:eastAsiaTheme="minorEastAsia" w:hAnsiTheme="minorEastAsia" w:cs="宋体" w:hint="eastAsia"/>
          <w:kern w:val="0"/>
          <w:sz w:val="24"/>
          <w:szCs w:val="24"/>
        </w:rPr>
        <w:t>号</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净资产收益率和每股收益的计算及披露》</w:t>
      </w:r>
      <w:r>
        <w:rPr>
          <w:rFonts w:asciiTheme="minorEastAsia" w:eastAsiaTheme="minorEastAsia" w:hAnsiTheme="minorEastAsia" w:cs="宋体"/>
          <w:kern w:val="0"/>
          <w:sz w:val="24"/>
          <w:szCs w:val="24"/>
        </w:rPr>
        <w:t>(2010</w:t>
      </w:r>
      <w:r>
        <w:rPr>
          <w:rFonts w:asciiTheme="minorEastAsia" w:eastAsiaTheme="minorEastAsia" w:hAnsiTheme="minorEastAsia" w:cs="宋体" w:hint="eastAsia"/>
          <w:kern w:val="0"/>
          <w:sz w:val="24"/>
          <w:szCs w:val="24"/>
        </w:rPr>
        <w:t>年修订</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计算了加权平均净资产收益率；</w:t>
      </w:r>
      <w:r>
        <w:rPr>
          <w:rFonts w:asciiTheme="minorEastAsia" w:eastAsiaTheme="minorEastAsia" w:hAnsiTheme="minorEastAsia" w:cs="宋体"/>
          <w:kern w:val="0"/>
          <w:sz w:val="24"/>
          <w:szCs w:val="24"/>
        </w:rPr>
        <w:t xml:space="preserve"> </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5.</w:t>
      </w:r>
      <w:r>
        <w:rPr>
          <w:rFonts w:asciiTheme="minorEastAsia" w:eastAsiaTheme="minorEastAsia" w:hAnsiTheme="minorEastAsia" w:cs="宋体" w:hint="eastAsia"/>
          <w:kern w:val="0"/>
          <w:sz w:val="24"/>
          <w:szCs w:val="24"/>
        </w:rPr>
        <w:t>成本收入比</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（业务及管理费</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其他业务成本）</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营业净收入</w:t>
      </w:r>
      <w:r>
        <w:rPr>
          <w:rFonts w:asciiTheme="minorEastAsia" w:eastAsiaTheme="minorEastAsia" w:hAnsiTheme="minorEastAsia" w:cs="宋体"/>
          <w:kern w:val="0"/>
          <w:sz w:val="24"/>
          <w:szCs w:val="24"/>
        </w:rPr>
        <w:t xml:space="preserve">*100% </w:t>
      </w:r>
      <w:r>
        <w:rPr>
          <w:rFonts w:asciiTheme="minorEastAsia" w:eastAsiaTheme="minorEastAsia" w:hAnsiTheme="minorEastAsia" w:cs="宋体" w:hint="eastAsia"/>
          <w:kern w:val="0"/>
          <w:sz w:val="24"/>
          <w:szCs w:val="24"/>
        </w:rPr>
        <w:t>；</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6.</w:t>
      </w:r>
      <w:r>
        <w:rPr>
          <w:rFonts w:asciiTheme="minorEastAsia" w:eastAsiaTheme="minorEastAsia" w:hAnsiTheme="minorEastAsia" w:cs="宋体" w:hint="eastAsia"/>
          <w:kern w:val="0"/>
          <w:sz w:val="24"/>
          <w:szCs w:val="24"/>
        </w:rPr>
        <w:t>由于会计政策变更，本行按照《关于修订印发一般企业财务报表格式的通知》</w:t>
      </w:r>
      <w:r>
        <w:rPr>
          <w:rFonts w:asciiTheme="minorEastAsia" w:eastAsiaTheme="minorEastAsia" w:hAnsiTheme="minorEastAsia" w:cs="宋体"/>
          <w:kern w:val="0"/>
          <w:sz w:val="24"/>
          <w:szCs w:val="24"/>
        </w:rPr>
        <w:t xml:space="preserve"> </w:t>
      </w:r>
      <w:r>
        <w:rPr>
          <w:rFonts w:asciiTheme="minorEastAsia" w:eastAsiaTheme="minorEastAsia" w:hAnsiTheme="minorEastAsia" w:cs="宋体" w:hint="eastAsia"/>
          <w:kern w:val="0"/>
          <w:sz w:val="24"/>
          <w:szCs w:val="24"/>
        </w:rPr>
        <w:t>（财会〔</w:t>
      </w:r>
      <w:r>
        <w:rPr>
          <w:rFonts w:asciiTheme="minorEastAsia" w:eastAsiaTheme="minorEastAsia" w:hAnsiTheme="minorEastAsia" w:cs="宋体"/>
          <w:kern w:val="0"/>
          <w:sz w:val="24"/>
          <w:szCs w:val="24"/>
        </w:rPr>
        <w:t>2017</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30</w:t>
      </w:r>
      <w:r>
        <w:rPr>
          <w:rFonts w:asciiTheme="minorEastAsia" w:eastAsiaTheme="minorEastAsia" w:hAnsiTheme="minorEastAsia" w:cs="宋体" w:hint="eastAsia"/>
          <w:kern w:val="0"/>
          <w:sz w:val="24"/>
          <w:szCs w:val="24"/>
        </w:rPr>
        <w:t>号）规定的财务报表格式编制</w:t>
      </w:r>
      <w:r>
        <w:rPr>
          <w:rFonts w:asciiTheme="minorEastAsia" w:eastAsiaTheme="minorEastAsia" w:hAnsiTheme="minorEastAsia" w:cs="宋体"/>
          <w:kern w:val="0"/>
          <w:sz w:val="24"/>
          <w:szCs w:val="24"/>
        </w:rPr>
        <w:t>2017</w:t>
      </w:r>
      <w:r>
        <w:rPr>
          <w:rFonts w:asciiTheme="minorEastAsia" w:eastAsiaTheme="minorEastAsia" w:hAnsiTheme="minorEastAsia" w:cs="宋体" w:hint="eastAsia"/>
          <w:kern w:val="0"/>
          <w:sz w:val="24"/>
          <w:szCs w:val="24"/>
        </w:rPr>
        <w:t>年度财务报表，在利润表新增</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资产处置收益</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项目，并采用追溯调整法对比较财务报表的列报进行了调整，</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营业收入</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营业支出</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和</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营业利润</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相应调整，下同。</w:t>
      </w:r>
      <w:r>
        <w:rPr>
          <w:rFonts w:asciiTheme="minorEastAsia" w:eastAsiaTheme="minorEastAsia" w:hAnsiTheme="minorEastAsia" w:cs="宋体"/>
          <w:kern w:val="0"/>
          <w:sz w:val="24"/>
          <w:szCs w:val="24"/>
        </w:rPr>
        <w:t xml:space="preserve"> </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 xml:space="preserve">7.3 </w:t>
      </w:r>
      <w:r>
        <w:rPr>
          <w:rFonts w:asciiTheme="minorEastAsia" w:eastAsiaTheme="minorEastAsia" w:hAnsiTheme="minorEastAsia" w:cs="宋体" w:hint="eastAsia"/>
          <w:b/>
          <w:kern w:val="0"/>
          <w:sz w:val="24"/>
          <w:szCs w:val="24"/>
        </w:rPr>
        <w:t>报告期末前三年补充财务指标</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单位：</w:t>
      </w:r>
      <w:r>
        <w:rPr>
          <w:rFonts w:asciiTheme="minorEastAsia" w:eastAsiaTheme="minorEastAsia" w:hAnsiTheme="minorEastAsia" w:cs="宋体"/>
          <w:kern w:val="0"/>
          <w:sz w:val="24"/>
          <w:szCs w:val="24"/>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122"/>
        <w:gridCol w:w="1523"/>
        <w:gridCol w:w="1524"/>
        <w:gridCol w:w="1524"/>
      </w:tblGrid>
      <w:tr w:rsidR="008768CC" w:rsidTr="00293A0E">
        <w:trPr>
          <w:trHeight w:val="489"/>
          <w:jc w:val="center"/>
        </w:trPr>
        <w:tc>
          <w:tcPr>
            <w:tcW w:w="1876" w:type="pct"/>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项目</w:t>
            </w:r>
          </w:p>
        </w:tc>
        <w:tc>
          <w:tcPr>
            <w:tcW w:w="616" w:type="pct"/>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监管值</w:t>
            </w:r>
          </w:p>
        </w:tc>
        <w:tc>
          <w:tcPr>
            <w:tcW w:w="835" w:type="pct"/>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b/>
                <w:sz w:val="24"/>
                <w:szCs w:val="24"/>
              </w:rPr>
              <w:t>202</w:t>
            </w:r>
            <w:r>
              <w:rPr>
                <w:rFonts w:asciiTheme="minorEastAsia" w:eastAsiaTheme="minorEastAsia" w:hAnsiTheme="minorEastAsia" w:hint="eastAsia"/>
                <w:b/>
                <w:sz w:val="24"/>
                <w:szCs w:val="24"/>
              </w:rPr>
              <w:t>3年末</w:t>
            </w:r>
          </w:p>
        </w:tc>
        <w:tc>
          <w:tcPr>
            <w:tcW w:w="835" w:type="pct"/>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b/>
                <w:sz w:val="24"/>
                <w:szCs w:val="24"/>
              </w:rPr>
              <w:t>202</w:t>
            </w:r>
            <w:r>
              <w:rPr>
                <w:rFonts w:asciiTheme="minorEastAsia" w:eastAsiaTheme="minorEastAsia" w:hAnsiTheme="minorEastAsia" w:hint="eastAsia"/>
                <w:b/>
                <w:sz w:val="24"/>
                <w:szCs w:val="24"/>
              </w:rPr>
              <w:t>2年末</w:t>
            </w:r>
          </w:p>
        </w:tc>
        <w:tc>
          <w:tcPr>
            <w:tcW w:w="835" w:type="pct"/>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b/>
                <w:sz w:val="24"/>
                <w:szCs w:val="24"/>
              </w:rPr>
              <w:t>20</w:t>
            </w:r>
            <w:r>
              <w:rPr>
                <w:rFonts w:asciiTheme="minorEastAsia" w:eastAsiaTheme="minorEastAsia" w:hAnsiTheme="minorEastAsia" w:hint="eastAsia"/>
                <w:b/>
                <w:sz w:val="24"/>
                <w:szCs w:val="24"/>
              </w:rPr>
              <w:t>21年末</w:t>
            </w:r>
          </w:p>
        </w:tc>
      </w:tr>
      <w:tr w:rsidR="008768CC" w:rsidTr="00293A0E">
        <w:trPr>
          <w:trHeight w:val="397"/>
          <w:jc w:val="center"/>
        </w:trPr>
        <w:tc>
          <w:tcPr>
            <w:tcW w:w="1876"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资本充足率</w:t>
            </w:r>
            <w:r>
              <w:rPr>
                <w:rFonts w:asciiTheme="minorEastAsia" w:eastAsiaTheme="minorEastAsia" w:hAnsiTheme="minorEastAsia"/>
                <w:sz w:val="24"/>
                <w:szCs w:val="24"/>
              </w:rPr>
              <w:t>(B-</w:t>
            </w:r>
            <w:r>
              <w:rPr>
                <w:rFonts w:asciiTheme="minorEastAsia" w:eastAsiaTheme="minorEastAsia" w:hAnsiTheme="minorEastAsia" w:hint="eastAsia"/>
                <w:sz w:val="24"/>
                <w:szCs w:val="24"/>
              </w:rPr>
              <w:t>Ⅲ</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口径</w:t>
            </w:r>
            <w:r>
              <w:rPr>
                <w:rFonts w:asciiTheme="minorEastAsia" w:eastAsiaTheme="minorEastAsia" w:hAnsiTheme="minorEastAsia"/>
                <w:sz w:val="24"/>
                <w:szCs w:val="24"/>
              </w:rPr>
              <w:t xml:space="preserve">) </w:t>
            </w:r>
          </w:p>
        </w:tc>
        <w:tc>
          <w:tcPr>
            <w:tcW w:w="616" w:type="pct"/>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10.5</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16.07</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15.08</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14.88</w:t>
            </w:r>
          </w:p>
        </w:tc>
      </w:tr>
      <w:tr w:rsidR="008768CC" w:rsidTr="00293A0E">
        <w:trPr>
          <w:trHeight w:val="397"/>
          <w:jc w:val="center"/>
        </w:trPr>
        <w:tc>
          <w:tcPr>
            <w:tcW w:w="1876"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一级资本充足率</w:t>
            </w:r>
            <w:r>
              <w:rPr>
                <w:rFonts w:asciiTheme="minorEastAsia" w:eastAsiaTheme="minorEastAsia" w:hAnsiTheme="minorEastAsia"/>
                <w:sz w:val="24"/>
                <w:szCs w:val="24"/>
              </w:rPr>
              <w:t xml:space="preserve"> </w:t>
            </w:r>
          </w:p>
        </w:tc>
        <w:tc>
          <w:tcPr>
            <w:tcW w:w="616" w:type="pct"/>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8.5</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14.95</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13.95</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13.76</w:t>
            </w:r>
          </w:p>
        </w:tc>
      </w:tr>
      <w:tr w:rsidR="008768CC" w:rsidTr="00293A0E">
        <w:trPr>
          <w:trHeight w:val="397"/>
          <w:jc w:val="center"/>
        </w:trPr>
        <w:tc>
          <w:tcPr>
            <w:tcW w:w="1876"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不良贷款率</w:t>
            </w:r>
            <w:r>
              <w:rPr>
                <w:rFonts w:asciiTheme="minorEastAsia" w:eastAsiaTheme="minorEastAsia" w:hAnsiTheme="minorEastAsia"/>
                <w:sz w:val="24"/>
                <w:szCs w:val="24"/>
              </w:rPr>
              <w:t xml:space="preserve"> </w:t>
            </w:r>
          </w:p>
        </w:tc>
        <w:tc>
          <w:tcPr>
            <w:tcW w:w="616" w:type="pct"/>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0.85</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0.89</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0.82</w:t>
            </w:r>
          </w:p>
        </w:tc>
      </w:tr>
      <w:tr w:rsidR="008768CC" w:rsidTr="00293A0E">
        <w:trPr>
          <w:trHeight w:val="397"/>
          <w:jc w:val="center"/>
        </w:trPr>
        <w:tc>
          <w:tcPr>
            <w:tcW w:w="1876"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拨备覆盖率</w:t>
            </w:r>
            <w:r>
              <w:rPr>
                <w:rFonts w:asciiTheme="minorEastAsia" w:eastAsiaTheme="minorEastAsia" w:hAnsiTheme="minorEastAsia"/>
                <w:sz w:val="24"/>
                <w:szCs w:val="24"/>
              </w:rPr>
              <w:t xml:space="preserve"> </w:t>
            </w:r>
          </w:p>
        </w:tc>
        <w:tc>
          <w:tcPr>
            <w:tcW w:w="616" w:type="pct"/>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150</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318.87</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287.76</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316.68</w:t>
            </w:r>
          </w:p>
        </w:tc>
      </w:tr>
      <w:tr w:rsidR="008768CC" w:rsidTr="00293A0E">
        <w:trPr>
          <w:trHeight w:val="397"/>
          <w:jc w:val="center"/>
        </w:trPr>
        <w:tc>
          <w:tcPr>
            <w:tcW w:w="1876"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流动性比率</w:t>
            </w:r>
            <w:r>
              <w:rPr>
                <w:rFonts w:asciiTheme="minorEastAsia" w:eastAsiaTheme="minorEastAsia" w:hAnsiTheme="minorEastAsia"/>
                <w:sz w:val="24"/>
                <w:szCs w:val="24"/>
              </w:rPr>
              <w:t xml:space="preserve"> </w:t>
            </w:r>
          </w:p>
        </w:tc>
        <w:tc>
          <w:tcPr>
            <w:tcW w:w="616" w:type="pct"/>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25</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74.19</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52.80</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56.04</w:t>
            </w:r>
          </w:p>
        </w:tc>
      </w:tr>
      <w:tr w:rsidR="008768CC" w:rsidTr="00293A0E">
        <w:trPr>
          <w:trHeight w:val="397"/>
          <w:jc w:val="center"/>
        </w:trPr>
        <w:tc>
          <w:tcPr>
            <w:tcW w:w="1876"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杠杆率</w:t>
            </w:r>
            <w:r>
              <w:rPr>
                <w:rFonts w:asciiTheme="minorEastAsia" w:eastAsiaTheme="minorEastAsia" w:hAnsiTheme="minorEastAsia"/>
                <w:sz w:val="24"/>
                <w:szCs w:val="24"/>
              </w:rPr>
              <w:t xml:space="preserve"> </w:t>
            </w:r>
          </w:p>
        </w:tc>
        <w:tc>
          <w:tcPr>
            <w:tcW w:w="616" w:type="pct"/>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4</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7.17</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7.04</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7.08</w:t>
            </w:r>
          </w:p>
        </w:tc>
      </w:tr>
      <w:tr w:rsidR="008768CC" w:rsidTr="00293A0E">
        <w:trPr>
          <w:trHeight w:val="397"/>
          <w:jc w:val="center"/>
        </w:trPr>
        <w:tc>
          <w:tcPr>
            <w:tcW w:w="1876"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单一客户贷款集中度</w:t>
            </w:r>
          </w:p>
        </w:tc>
        <w:tc>
          <w:tcPr>
            <w:tcW w:w="616" w:type="pct"/>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10</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2.95</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3.26</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3.69</w:t>
            </w:r>
          </w:p>
        </w:tc>
      </w:tr>
      <w:tr w:rsidR="008768CC" w:rsidTr="00293A0E">
        <w:trPr>
          <w:trHeight w:val="340"/>
          <w:jc w:val="center"/>
        </w:trPr>
        <w:tc>
          <w:tcPr>
            <w:tcW w:w="1876"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单一集团客户授信集中度</w:t>
            </w:r>
          </w:p>
        </w:tc>
        <w:tc>
          <w:tcPr>
            <w:tcW w:w="616" w:type="pct"/>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15</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7.39</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8.39</w:t>
            </w:r>
          </w:p>
        </w:tc>
        <w:tc>
          <w:tcPr>
            <w:tcW w:w="835" w:type="pct"/>
            <w:vAlign w:val="center"/>
          </w:tcPr>
          <w:p w:rsidR="008768CC" w:rsidRDefault="008768CC" w:rsidP="008768CC">
            <w:pPr>
              <w:widowControl w:val="0"/>
              <w:spacing w:line="500" w:lineRule="exact"/>
              <w:ind w:rightChars="105" w:right="336"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9.27</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注：上述指标均是按照国家金融监督管理总局监管口径计算得出。</w:t>
      </w:r>
      <w:r>
        <w:rPr>
          <w:rFonts w:asciiTheme="minorEastAsia" w:eastAsiaTheme="minorEastAsia" w:hAnsiTheme="minorEastAsia" w:cs="宋体"/>
          <w:kern w:val="0"/>
          <w:sz w:val="24"/>
          <w:szCs w:val="24"/>
        </w:rPr>
        <w:t xml:space="preserve"> </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 xml:space="preserve">7.4 </w:t>
      </w:r>
      <w:r>
        <w:rPr>
          <w:rFonts w:asciiTheme="minorEastAsia" w:eastAsiaTheme="minorEastAsia" w:hAnsiTheme="minorEastAsia" w:cs="宋体" w:hint="eastAsia"/>
          <w:b/>
          <w:kern w:val="0"/>
          <w:sz w:val="24"/>
          <w:szCs w:val="24"/>
        </w:rPr>
        <w:t>报告期末主要业务信息及数据</w:t>
      </w:r>
      <w:r>
        <w:rPr>
          <w:rFonts w:asciiTheme="minorEastAsia" w:eastAsiaTheme="minorEastAsia" w:hAnsiTheme="minorEastAsia" w:cs="宋体"/>
          <w:b/>
          <w:kern w:val="0"/>
          <w:sz w:val="24"/>
          <w:szCs w:val="24"/>
        </w:rPr>
        <w:t xml:space="preserve"> </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30" w:after="93"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30" w:after="93"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30" w:after="93"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30" w:after="93" w:line="5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单位：人民币万元</w:t>
      </w:r>
      <w:r>
        <w:rPr>
          <w:rFonts w:asciiTheme="minorEastAsia" w:eastAsiaTheme="minorEastAsia" w:hAnsiTheme="minorEastAsia" w:cs="宋体"/>
          <w:kern w:val="0"/>
          <w:sz w:val="24"/>
          <w:szCs w:val="24"/>
        </w:rPr>
        <w:t xml:space="preserve">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274"/>
        <w:gridCol w:w="2273"/>
        <w:gridCol w:w="2177"/>
      </w:tblGrid>
      <w:tr w:rsidR="008768CC" w:rsidTr="00293A0E">
        <w:trPr>
          <w:trHeight w:val="454"/>
          <w:jc w:val="center"/>
        </w:trPr>
        <w:tc>
          <w:tcPr>
            <w:tcW w:w="1311" w:type="pct"/>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项</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目</w:t>
            </w:r>
          </w:p>
        </w:tc>
        <w:tc>
          <w:tcPr>
            <w:tcW w:w="1247" w:type="pct"/>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b/>
                <w:sz w:val="24"/>
                <w:szCs w:val="24"/>
              </w:rPr>
              <w:t>202</w:t>
            </w:r>
            <w:r>
              <w:rPr>
                <w:rFonts w:asciiTheme="minorEastAsia" w:eastAsiaTheme="minorEastAsia" w:hAnsiTheme="minorEastAsia" w:hint="eastAsia"/>
                <w:b/>
                <w:sz w:val="24"/>
                <w:szCs w:val="24"/>
              </w:rPr>
              <w:t>3年末</w:t>
            </w:r>
          </w:p>
        </w:tc>
        <w:tc>
          <w:tcPr>
            <w:tcW w:w="1247" w:type="pct"/>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b/>
                <w:sz w:val="24"/>
                <w:szCs w:val="24"/>
              </w:rPr>
              <w:t>202</w:t>
            </w:r>
            <w:r>
              <w:rPr>
                <w:rFonts w:asciiTheme="minorEastAsia" w:eastAsiaTheme="minorEastAsia" w:hAnsiTheme="minorEastAsia" w:hint="eastAsia"/>
                <w:b/>
                <w:sz w:val="24"/>
                <w:szCs w:val="24"/>
              </w:rPr>
              <w:t>2年末</w:t>
            </w:r>
          </w:p>
        </w:tc>
        <w:tc>
          <w:tcPr>
            <w:tcW w:w="1194" w:type="pct"/>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b/>
                <w:sz w:val="24"/>
                <w:szCs w:val="24"/>
              </w:rPr>
              <w:t>20</w:t>
            </w:r>
            <w:r>
              <w:rPr>
                <w:rFonts w:asciiTheme="minorEastAsia" w:eastAsiaTheme="minorEastAsia" w:hAnsiTheme="minorEastAsia" w:hint="eastAsia"/>
                <w:b/>
                <w:sz w:val="24"/>
                <w:szCs w:val="24"/>
              </w:rPr>
              <w:t>21年末</w:t>
            </w:r>
          </w:p>
        </w:tc>
      </w:tr>
      <w:tr w:rsidR="008768CC" w:rsidTr="00293A0E">
        <w:trPr>
          <w:trHeight w:val="340"/>
          <w:jc w:val="center"/>
        </w:trPr>
        <w:tc>
          <w:tcPr>
            <w:tcW w:w="1311"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存款总额</w:t>
            </w:r>
          </w:p>
        </w:tc>
        <w:tc>
          <w:tcPr>
            <w:tcW w:w="1247"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2,452,265.96</w:t>
            </w:r>
          </w:p>
        </w:tc>
        <w:tc>
          <w:tcPr>
            <w:tcW w:w="1247"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2,392,346.55</w:t>
            </w:r>
          </w:p>
        </w:tc>
        <w:tc>
          <w:tcPr>
            <w:tcW w:w="1194"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2,218,506.68 </w:t>
            </w:r>
          </w:p>
        </w:tc>
      </w:tr>
      <w:tr w:rsidR="008768CC" w:rsidTr="00293A0E">
        <w:trPr>
          <w:trHeight w:val="340"/>
          <w:jc w:val="center"/>
        </w:trPr>
        <w:tc>
          <w:tcPr>
            <w:tcW w:w="1311"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其中：单位存款</w:t>
            </w:r>
          </w:p>
        </w:tc>
        <w:tc>
          <w:tcPr>
            <w:tcW w:w="1247"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149,071.20</w:t>
            </w:r>
          </w:p>
        </w:tc>
        <w:tc>
          <w:tcPr>
            <w:tcW w:w="1247"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164,030.41</w:t>
            </w:r>
          </w:p>
        </w:tc>
        <w:tc>
          <w:tcPr>
            <w:tcW w:w="1194"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197,541.36  </w:t>
            </w:r>
          </w:p>
        </w:tc>
      </w:tr>
      <w:tr w:rsidR="008768CC" w:rsidTr="00293A0E">
        <w:trPr>
          <w:trHeight w:val="340"/>
          <w:jc w:val="center"/>
        </w:trPr>
        <w:tc>
          <w:tcPr>
            <w:tcW w:w="1311"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储蓄存款</w:t>
            </w:r>
          </w:p>
        </w:tc>
        <w:tc>
          <w:tcPr>
            <w:tcW w:w="1247"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2,302,989.76</w:t>
            </w:r>
          </w:p>
        </w:tc>
        <w:tc>
          <w:tcPr>
            <w:tcW w:w="1247"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2,228,312.71</w:t>
            </w:r>
          </w:p>
        </w:tc>
        <w:tc>
          <w:tcPr>
            <w:tcW w:w="1194"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2,020,904.77 </w:t>
            </w:r>
          </w:p>
        </w:tc>
      </w:tr>
      <w:tr w:rsidR="008768CC" w:rsidTr="00293A0E">
        <w:trPr>
          <w:trHeight w:val="340"/>
          <w:jc w:val="center"/>
        </w:trPr>
        <w:tc>
          <w:tcPr>
            <w:tcW w:w="1311"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其他存款</w:t>
            </w:r>
          </w:p>
        </w:tc>
        <w:tc>
          <w:tcPr>
            <w:tcW w:w="1247"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205.00</w:t>
            </w:r>
          </w:p>
        </w:tc>
        <w:tc>
          <w:tcPr>
            <w:tcW w:w="1247"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3.43</w:t>
            </w:r>
          </w:p>
        </w:tc>
        <w:tc>
          <w:tcPr>
            <w:tcW w:w="1194"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60.55</w:t>
            </w:r>
          </w:p>
        </w:tc>
      </w:tr>
      <w:tr w:rsidR="008768CC" w:rsidTr="00293A0E">
        <w:trPr>
          <w:trHeight w:val="340"/>
          <w:jc w:val="center"/>
        </w:trPr>
        <w:tc>
          <w:tcPr>
            <w:tcW w:w="1311"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贷款总额</w:t>
            </w:r>
          </w:p>
        </w:tc>
        <w:tc>
          <w:tcPr>
            <w:tcW w:w="1247"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1,370,750.24</w:t>
            </w:r>
          </w:p>
        </w:tc>
        <w:tc>
          <w:tcPr>
            <w:tcW w:w="1247"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1,351,163.38</w:t>
            </w:r>
          </w:p>
        </w:tc>
        <w:tc>
          <w:tcPr>
            <w:tcW w:w="1194"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1,245,481.63 </w:t>
            </w:r>
          </w:p>
        </w:tc>
      </w:tr>
      <w:tr w:rsidR="008768CC" w:rsidTr="00293A0E">
        <w:trPr>
          <w:trHeight w:val="340"/>
          <w:jc w:val="center"/>
        </w:trPr>
        <w:tc>
          <w:tcPr>
            <w:tcW w:w="1311"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其中：公司贷款</w:t>
            </w:r>
          </w:p>
        </w:tc>
        <w:tc>
          <w:tcPr>
            <w:tcW w:w="1247"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lang w:eastAsia="en-US"/>
              </w:rPr>
              <w:t>158,367.0</w:t>
            </w:r>
            <w:r>
              <w:rPr>
                <w:rFonts w:asciiTheme="minorEastAsia" w:eastAsiaTheme="minorEastAsia" w:hAnsiTheme="minorEastAsia" w:hint="eastAsia"/>
                <w:kern w:val="0"/>
                <w:sz w:val="24"/>
                <w:szCs w:val="24"/>
              </w:rPr>
              <w:t>5</w:t>
            </w:r>
          </w:p>
        </w:tc>
        <w:tc>
          <w:tcPr>
            <w:tcW w:w="1247"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159,808.1</w:t>
            </w:r>
            <w:r>
              <w:rPr>
                <w:rFonts w:asciiTheme="minorEastAsia" w:eastAsiaTheme="minorEastAsia" w:hAnsiTheme="minorEastAsia" w:hint="eastAsia"/>
                <w:sz w:val="24"/>
                <w:szCs w:val="24"/>
              </w:rPr>
              <w:t>4</w:t>
            </w:r>
          </w:p>
        </w:tc>
        <w:tc>
          <w:tcPr>
            <w:tcW w:w="1194"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 201,166.40 </w:t>
            </w:r>
          </w:p>
        </w:tc>
      </w:tr>
      <w:tr w:rsidR="008768CC" w:rsidTr="00293A0E">
        <w:trPr>
          <w:trHeight w:val="340"/>
          <w:jc w:val="center"/>
        </w:trPr>
        <w:tc>
          <w:tcPr>
            <w:tcW w:w="1311"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个人贷款</w:t>
            </w:r>
          </w:p>
        </w:tc>
        <w:tc>
          <w:tcPr>
            <w:tcW w:w="1247"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1,055,594.13</w:t>
            </w:r>
          </w:p>
        </w:tc>
        <w:tc>
          <w:tcPr>
            <w:tcW w:w="1247"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1,059,903.61</w:t>
            </w:r>
          </w:p>
        </w:tc>
        <w:tc>
          <w:tcPr>
            <w:tcW w:w="1194"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 977,826.67 </w:t>
            </w:r>
          </w:p>
        </w:tc>
      </w:tr>
      <w:tr w:rsidR="008768CC" w:rsidTr="00293A0E">
        <w:trPr>
          <w:trHeight w:val="340"/>
          <w:jc w:val="center"/>
        </w:trPr>
        <w:tc>
          <w:tcPr>
            <w:tcW w:w="1311"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票据贴现（含转贴）</w:t>
            </w:r>
          </w:p>
        </w:tc>
        <w:tc>
          <w:tcPr>
            <w:tcW w:w="1247"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kern w:val="0"/>
                <w:sz w:val="24"/>
                <w:szCs w:val="24"/>
                <w:lang w:eastAsia="en-US"/>
              </w:rPr>
            </w:pPr>
            <w:r>
              <w:rPr>
                <w:rFonts w:asciiTheme="minorEastAsia" w:eastAsiaTheme="minorEastAsia" w:hAnsiTheme="minorEastAsia"/>
                <w:kern w:val="0"/>
                <w:sz w:val="24"/>
                <w:szCs w:val="24"/>
                <w:lang w:eastAsia="en-US"/>
              </w:rPr>
              <w:t>156,789.06</w:t>
            </w:r>
          </w:p>
        </w:tc>
        <w:tc>
          <w:tcPr>
            <w:tcW w:w="1247"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131,451.63</w:t>
            </w:r>
          </w:p>
        </w:tc>
        <w:tc>
          <w:tcPr>
            <w:tcW w:w="1194" w:type="pct"/>
            <w:vAlign w:val="center"/>
          </w:tcPr>
          <w:p w:rsidR="008768CC" w:rsidRDefault="008768CC" w:rsidP="008768CC">
            <w:pPr>
              <w:widowControl w:val="0"/>
              <w:spacing w:line="500" w:lineRule="exact"/>
              <w:ind w:rightChars="25" w:right="80"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 66,488.56 </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 xml:space="preserve">7.5 </w:t>
      </w:r>
      <w:r>
        <w:rPr>
          <w:rFonts w:asciiTheme="minorEastAsia" w:eastAsiaTheme="minorEastAsia" w:hAnsiTheme="minorEastAsia" w:cs="宋体" w:hint="eastAsia"/>
          <w:b/>
          <w:kern w:val="0"/>
          <w:sz w:val="24"/>
          <w:szCs w:val="24"/>
        </w:rPr>
        <w:t>报告期末资本构成及变化情况</w:t>
      </w:r>
      <w:r>
        <w:rPr>
          <w:rFonts w:asciiTheme="minorEastAsia" w:eastAsiaTheme="minorEastAsia" w:hAnsiTheme="minorEastAsia" w:cs="宋体"/>
          <w:b/>
          <w:kern w:val="0"/>
          <w:sz w:val="24"/>
          <w:szCs w:val="24"/>
        </w:rPr>
        <w:t xml:space="preserve"> </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30" w:after="93" w:line="5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单位：人民币万元、</w:t>
      </w:r>
      <w:r>
        <w:rPr>
          <w:rFonts w:asciiTheme="minorEastAsia" w:eastAsiaTheme="minorEastAsia" w:hAnsiTheme="minorEastAsia" w:cs="宋体"/>
          <w:kern w:val="0"/>
          <w:sz w:val="24"/>
          <w:szCs w:val="24"/>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2274"/>
        <w:gridCol w:w="2122"/>
        <w:gridCol w:w="2327"/>
      </w:tblGrid>
      <w:tr w:rsidR="008768CC" w:rsidTr="00293A0E">
        <w:trPr>
          <w:trHeight w:val="397"/>
          <w:jc w:val="center"/>
        </w:trPr>
        <w:tc>
          <w:tcPr>
            <w:tcW w:w="1311" w:type="pct"/>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项</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目</w:t>
            </w:r>
          </w:p>
        </w:tc>
        <w:tc>
          <w:tcPr>
            <w:tcW w:w="1247" w:type="pct"/>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b/>
                <w:sz w:val="24"/>
                <w:szCs w:val="24"/>
              </w:rPr>
              <w:t>202</w:t>
            </w:r>
            <w:r>
              <w:rPr>
                <w:rFonts w:asciiTheme="minorEastAsia" w:eastAsiaTheme="minorEastAsia" w:hAnsiTheme="minorEastAsia" w:hint="eastAsia"/>
                <w:b/>
                <w:sz w:val="24"/>
                <w:szCs w:val="24"/>
              </w:rPr>
              <w:t>3年末</w:t>
            </w:r>
          </w:p>
        </w:tc>
        <w:tc>
          <w:tcPr>
            <w:tcW w:w="1164" w:type="pct"/>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b/>
                <w:sz w:val="24"/>
                <w:szCs w:val="24"/>
              </w:rPr>
              <w:t>202</w:t>
            </w:r>
            <w:r>
              <w:rPr>
                <w:rFonts w:asciiTheme="minorEastAsia" w:eastAsiaTheme="minorEastAsia" w:hAnsiTheme="minorEastAsia" w:hint="eastAsia"/>
                <w:b/>
                <w:sz w:val="24"/>
                <w:szCs w:val="24"/>
              </w:rPr>
              <w:t>2年末</w:t>
            </w:r>
          </w:p>
        </w:tc>
        <w:tc>
          <w:tcPr>
            <w:tcW w:w="1277" w:type="pct"/>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b/>
                <w:sz w:val="24"/>
                <w:szCs w:val="24"/>
              </w:rPr>
              <w:t>20</w:t>
            </w:r>
            <w:r>
              <w:rPr>
                <w:rFonts w:asciiTheme="minorEastAsia" w:eastAsiaTheme="minorEastAsia" w:hAnsiTheme="minorEastAsia" w:hint="eastAsia"/>
                <w:b/>
                <w:sz w:val="24"/>
                <w:szCs w:val="24"/>
              </w:rPr>
              <w:t>21年末</w:t>
            </w:r>
          </w:p>
        </w:tc>
      </w:tr>
      <w:tr w:rsidR="008768CC" w:rsidTr="00293A0E">
        <w:trPr>
          <w:trHeight w:val="397"/>
          <w:jc w:val="center"/>
        </w:trPr>
        <w:tc>
          <w:tcPr>
            <w:tcW w:w="1311"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资本净额</w:t>
            </w:r>
          </w:p>
        </w:tc>
        <w:tc>
          <w:tcPr>
            <w:tcW w:w="1247" w:type="pct"/>
            <w:vAlign w:val="center"/>
          </w:tcPr>
          <w:p w:rsidR="008768CC" w:rsidRDefault="008768CC" w:rsidP="008768CC">
            <w:pPr>
              <w:widowControl w:val="0"/>
              <w:spacing w:line="500" w:lineRule="exact"/>
              <w:ind w:rightChars="41" w:right="131"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209,826.68</w:t>
            </w:r>
          </w:p>
        </w:tc>
        <w:tc>
          <w:tcPr>
            <w:tcW w:w="1164" w:type="pct"/>
            <w:vAlign w:val="center"/>
          </w:tcPr>
          <w:p w:rsidR="008768CC" w:rsidRDefault="008768CC" w:rsidP="008768CC">
            <w:pPr>
              <w:widowControl w:val="0"/>
              <w:spacing w:line="500" w:lineRule="exact"/>
              <w:ind w:rightChars="41" w:right="131"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203,273.89</w:t>
            </w:r>
          </w:p>
        </w:tc>
        <w:tc>
          <w:tcPr>
            <w:tcW w:w="1277" w:type="pct"/>
            <w:vAlign w:val="center"/>
          </w:tcPr>
          <w:p w:rsidR="008768CC" w:rsidRDefault="008768CC" w:rsidP="008768CC">
            <w:pPr>
              <w:widowControl w:val="0"/>
              <w:spacing w:line="500" w:lineRule="exact"/>
              <w:ind w:rightChars="41" w:right="131"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192,342.97</w:t>
            </w:r>
          </w:p>
        </w:tc>
      </w:tr>
      <w:tr w:rsidR="008768CC" w:rsidTr="00293A0E">
        <w:trPr>
          <w:trHeight w:val="397"/>
          <w:jc w:val="center"/>
        </w:trPr>
        <w:tc>
          <w:tcPr>
            <w:tcW w:w="1311"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一级资本净额</w:t>
            </w:r>
          </w:p>
        </w:tc>
        <w:tc>
          <w:tcPr>
            <w:tcW w:w="1247" w:type="pct"/>
            <w:vAlign w:val="center"/>
          </w:tcPr>
          <w:p w:rsidR="008768CC" w:rsidRDefault="008768CC" w:rsidP="008768CC">
            <w:pPr>
              <w:widowControl w:val="0"/>
              <w:spacing w:line="500" w:lineRule="exact"/>
              <w:ind w:rightChars="41" w:right="131"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195,204.19</w:t>
            </w:r>
          </w:p>
        </w:tc>
        <w:tc>
          <w:tcPr>
            <w:tcW w:w="1164" w:type="pct"/>
            <w:vAlign w:val="center"/>
          </w:tcPr>
          <w:p w:rsidR="008768CC" w:rsidRDefault="008768CC" w:rsidP="008768CC">
            <w:pPr>
              <w:widowControl w:val="0"/>
              <w:spacing w:line="500" w:lineRule="exact"/>
              <w:ind w:rightChars="41" w:right="131"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188,037.64</w:t>
            </w:r>
          </w:p>
        </w:tc>
        <w:tc>
          <w:tcPr>
            <w:tcW w:w="1277" w:type="pct"/>
            <w:vAlign w:val="center"/>
          </w:tcPr>
          <w:p w:rsidR="008768CC" w:rsidRDefault="008768CC" w:rsidP="008768CC">
            <w:pPr>
              <w:widowControl w:val="0"/>
              <w:spacing w:line="500" w:lineRule="exact"/>
              <w:ind w:rightChars="41" w:right="131"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177,839.40</w:t>
            </w:r>
          </w:p>
        </w:tc>
      </w:tr>
      <w:tr w:rsidR="008768CC" w:rsidTr="00293A0E">
        <w:trPr>
          <w:trHeight w:val="397"/>
          <w:jc w:val="center"/>
        </w:trPr>
        <w:tc>
          <w:tcPr>
            <w:tcW w:w="1311"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风险加权资产总额</w:t>
            </w:r>
          </w:p>
        </w:tc>
        <w:tc>
          <w:tcPr>
            <w:tcW w:w="1247" w:type="pct"/>
            <w:vAlign w:val="center"/>
          </w:tcPr>
          <w:p w:rsidR="008768CC" w:rsidRDefault="008768CC" w:rsidP="008768CC">
            <w:pPr>
              <w:widowControl w:val="0"/>
              <w:spacing w:line="500" w:lineRule="exact"/>
              <w:ind w:rightChars="41" w:right="131"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1,305,758.82</w:t>
            </w:r>
          </w:p>
        </w:tc>
        <w:tc>
          <w:tcPr>
            <w:tcW w:w="1164" w:type="pct"/>
            <w:vAlign w:val="center"/>
          </w:tcPr>
          <w:p w:rsidR="008768CC" w:rsidRDefault="008768CC" w:rsidP="008768CC">
            <w:pPr>
              <w:widowControl w:val="0"/>
              <w:spacing w:line="500" w:lineRule="exact"/>
              <w:ind w:rightChars="41" w:right="131"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1,348,305.44</w:t>
            </w:r>
          </w:p>
        </w:tc>
        <w:tc>
          <w:tcPr>
            <w:tcW w:w="1277" w:type="pct"/>
            <w:vAlign w:val="center"/>
          </w:tcPr>
          <w:p w:rsidR="008768CC" w:rsidRDefault="008768CC" w:rsidP="008768CC">
            <w:pPr>
              <w:widowControl w:val="0"/>
              <w:spacing w:line="500" w:lineRule="exact"/>
              <w:ind w:rightChars="41" w:right="131"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1,292,527.97</w:t>
            </w:r>
          </w:p>
        </w:tc>
      </w:tr>
      <w:tr w:rsidR="008768CC" w:rsidTr="00293A0E">
        <w:trPr>
          <w:trHeight w:val="397"/>
          <w:jc w:val="center"/>
        </w:trPr>
        <w:tc>
          <w:tcPr>
            <w:tcW w:w="1311"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资本充足率</w:t>
            </w:r>
          </w:p>
        </w:tc>
        <w:tc>
          <w:tcPr>
            <w:tcW w:w="1247" w:type="pct"/>
            <w:vAlign w:val="center"/>
          </w:tcPr>
          <w:p w:rsidR="008768CC" w:rsidRDefault="008768CC" w:rsidP="008768CC">
            <w:pPr>
              <w:widowControl w:val="0"/>
              <w:spacing w:line="500" w:lineRule="exact"/>
              <w:ind w:rightChars="41" w:right="131"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16.07</w:t>
            </w:r>
          </w:p>
        </w:tc>
        <w:tc>
          <w:tcPr>
            <w:tcW w:w="1164" w:type="pct"/>
            <w:vAlign w:val="center"/>
          </w:tcPr>
          <w:p w:rsidR="008768CC" w:rsidRDefault="008768CC" w:rsidP="008768CC">
            <w:pPr>
              <w:widowControl w:val="0"/>
              <w:spacing w:line="500" w:lineRule="exact"/>
              <w:ind w:rightChars="41" w:right="131"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15.08</w:t>
            </w:r>
          </w:p>
        </w:tc>
        <w:tc>
          <w:tcPr>
            <w:tcW w:w="1277" w:type="pct"/>
            <w:vAlign w:val="center"/>
          </w:tcPr>
          <w:p w:rsidR="008768CC" w:rsidRDefault="008768CC" w:rsidP="008768CC">
            <w:pPr>
              <w:widowControl w:val="0"/>
              <w:spacing w:line="500" w:lineRule="exact"/>
              <w:ind w:rightChars="41" w:right="131"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14.88</w:t>
            </w:r>
          </w:p>
        </w:tc>
      </w:tr>
      <w:tr w:rsidR="008768CC" w:rsidTr="00293A0E">
        <w:trPr>
          <w:trHeight w:val="397"/>
          <w:jc w:val="center"/>
        </w:trPr>
        <w:tc>
          <w:tcPr>
            <w:tcW w:w="1311" w:type="pct"/>
            <w:vAlign w:val="center"/>
          </w:tcPr>
          <w:p w:rsidR="008768CC" w:rsidRDefault="008768CC" w:rsidP="00293A0E">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一级资本充足率</w:t>
            </w:r>
          </w:p>
        </w:tc>
        <w:tc>
          <w:tcPr>
            <w:tcW w:w="1247" w:type="pct"/>
            <w:vAlign w:val="center"/>
          </w:tcPr>
          <w:p w:rsidR="008768CC" w:rsidRDefault="008768CC" w:rsidP="008768CC">
            <w:pPr>
              <w:widowControl w:val="0"/>
              <w:spacing w:line="500" w:lineRule="exact"/>
              <w:ind w:rightChars="41" w:right="131"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14.95</w:t>
            </w:r>
          </w:p>
        </w:tc>
        <w:tc>
          <w:tcPr>
            <w:tcW w:w="1164" w:type="pct"/>
            <w:vAlign w:val="center"/>
          </w:tcPr>
          <w:p w:rsidR="008768CC" w:rsidRDefault="008768CC" w:rsidP="008768CC">
            <w:pPr>
              <w:widowControl w:val="0"/>
              <w:spacing w:line="500" w:lineRule="exact"/>
              <w:ind w:rightChars="41" w:right="131"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13.95</w:t>
            </w:r>
          </w:p>
        </w:tc>
        <w:tc>
          <w:tcPr>
            <w:tcW w:w="1277" w:type="pct"/>
            <w:vAlign w:val="center"/>
          </w:tcPr>
          <w:p w:rsidR="008768CC" w:rsidRDefault="008768CC" w:rsidP="008768CC">
            <w:pPr>
              <w:widowControl w:val="0"/>
              <w:spacing w:line="500" w:lineRule="exact"/>
              <w:ind w:rightChars="41" w:right="131"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13.76</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 xml:space="preserve">7.6 </w:t>
      </w:r>
      <w:r>
        <w:rPr>
          <w:rFonts w:asciiTheme="minorEastAsia" w:eastAsiaTheme="minorEastAsia" w:hAnsiTheme="minorEastAsia" w:cs="宋体" w:hint="eastAsia"/>
          <w:b/>
          <w:kern w:val="0"/>
          <w:sz w:val="24"/>
          <w:szCs w:val="24"/>
        </w:rPr>
        <w:t>报告期内所有者权益变动情况</w:t>
      </w:r>
      <w:r>
        <w:rPr>
          <w:rFonts w:asciiTheme="minorEastAsia" w:eastAsiaTheme="minorEastAsia" w:hAnsiTheme="minorEastAsia" w:cs="宋体"/>
          <w:b/>
          <w:kern w:val="0"/>
          <w:sz w:val="24"/>
          <w:szCs w:val="24"/>
        </w:rPr>
        <w:t xml:space="preserve">     </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单位：人民币万元</w:t>
      </w:r>
      <w:r>
        <w:rPr>
          <w:rFonts w:asciiTheme="minorEastAsia" w:eastAsiaTheme="minorEastAsia" w:hAnsiTheme="minorEastAsia" w:cs="宋体"/>
          <w:kern w:val="0"/>
          <w:sz w:val="24"/>
          <w:szCs w:val="24"/>
        </w:rPr>
        <w:t xml:space="preserve"> </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134"/>
        <w:gridCol w:w="1290"/>
        <w:gridCol w:w="1134"/>
        <w:gridCol w:w="1134"/>
        <w:gridCol w:w="1134"/>
        <w:gridCol w:w="1276"/>
      </w:tblGrid>
      <w:tr w:rsidR="008768CC" w:rsidTr="00293A0E">
        <w:trPr>
          <w:jc w:val="center"/>
        </w:trPr>
        <w:tc>
          <w:tcPr>
            <w:tcW w:w="1135" w:type="dxa"/>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项目</w:t>
            </w:r>
          </w:p>
        </w:tc>
        <w:tc>
          <w:tcPr>
            <w:tcW w:w="1134" w:type="dxa"/>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实收资本</w:t>
            </w:r>
          </w:p>
        </w:tc>
        <w:tc>
          <w:tcPr>
            <w:tcW w:w="1134" w:type="dxa"/>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资本公积</w:t>
            </w:r>
          </w:p>
        </w:tc>
        <w:tc>
          <w:tcPr>
            <w:tcW w:w="1290" w:type="dxa"/>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其他综合收益</w:t>
            </w:r>
          </w:p>
        </w:tc>
        <w:tc>
          <w:tcPr>
            <w:tcW w:w="1134" w:type="dxa"/>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盈余公积</w:t>
            </w:r>
          </w:p>
        </w:tc>
        <w:tc>
          <w:tcPr>
            <w:tcW w:w="1134" w:type="dxa"/>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一般准备</w:t>
            </w:r>
          </w:p>
        </w:tc>
        <w:tc>
          <w:tcPr>
            <w:tcW w:w="1134" w:type="dxa"/>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未分配</w:t>
            </w:r>
          </w:p>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利润</w:t>
            </w:r>
          </w:p>
        </w:tc>
        <w:tc>
          <w:tcPr>
            <w:tcW w:w="1276" w:type="dxa"/>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所有者权益合计</w:t>
            </w:r>
          </w:p>
        </w:tc>
      </w:tr>
      <w:tr w:rsidR="008768CC" w:rsidTr="00293A0E">
        <w:trPr>
          <w:trHeight w:val="340"/>
          <w:jc w:val="center"/>
        </w:trPr>
        <w:tc>
          <w:tcPr>
            <w:tcW w:w="1135" w:type="dxa"/>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期初数</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kern w:val="0"/>
                <w:sz w:val="24"/>
                <w:szCs w:val="24"/>
                <w:lang w:eastAsia="en-US"/>
              </w:rPr>
            </w:pPr>
            <w:r>
              <w:rPr>
                <w:rFonts w:asciiTheme="minorEastAsia" w:eastAsiaTheme="minorEastAsia" w:hAnsiTheme="minorEastAsia"/>
                <w:spacing w:val="-6"/>
                <w:sz w:val="24"/>
                <w:szCs w:val="24"/>
              </w:rPr>
              <w:t xml:space="preserve">61,197.65 </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kern w:val="0"/>
                <w:sz w:val="24"/>
                <w:szCs w:val="24"/>
                <w:lang w:eastAsia="en-US"/>
              </w:rPr>
            </w:pPr>
            <w:r>
              <w:rPr>
                <w:rFonts w:asciiTheme="minorEastAsia" w:eastAsiaTheme="minorEastAsia" w:hAnsiTheme="minorEastAsia"/>
                <w:spacing w:val="-6"/>
                <w:sz w:val="24"/>
                <w:szCs w:val="24"/>
              </w:rPr>
              <w:t>29,841.22</w:t>
            </w:r>
          </w:p>
        </w:tc>
        <w:tc>
          <w:tcPr>
            <w:tcW w:w="1290"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spacing w:val="-6"/>
                <w:sz w:val="24"/>
                <w:szCs w:val="24"/>
              </w:rPr>
              <w:t>-10,627.91</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spacing w:val="-6"/>
                <w:sz w:val="24"/>
                <w:szCs w:val="24"/>
              </w:rPr>
              <w:t>22,483.58</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spacing w:val="-6"/>
                <w:sz w:val="24"/>
                <w:szCs w:val="24"/>
              </w:rPr>
              <w:t>49,220.07</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spacing w:val="-6"/>
                <w:sz w:val="24"/>
                <w:szCs w:val="24"/>
              </w:rPr>
              <w:t>37,937.76</w:t>
            </w:r>
          </w:p>
        </w:tc>
        <w:tc>
          <w:tcPr>
            <w:tcW w:w="1276"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spacing w:val="-6"/>
                <w:sz w:val="24"/>
                <w:szCs w:val="24"/>
              </w:rPr>
              <w:t>190,052.38</w:t>
            </w:r>
          </w:p>
        </w:tc>
      </w:tr>
      <w:tr w:rsidR="008768CC" w:rsidTr="00293A0E">
        <w:trPr>
          <w:trHeight w:val="340"/>
          <w:jc w:val="center"/>
        </w:trPr>
        <w:tc>
          <w:tcPr>
            <w:tcW w:w="1135" w:type="dxa"/>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本期增加</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kern w:val="0"/>
                <w:sz w:val="24"/>
                <w:szCs w:val="24"/>
                <w:lang w:eastAsia="en-US"/>
              </w:rPr>
            </w:pPr>
            <w:r>
              <w:rPr>
                <w:rFonts w:asciiTheme="minorEastAsia" w:eastAsiaTheme="minorEastAsia" w:hAnsiTheme="minorEastAsia" w:hint="eastAsia"/>
                <w:spacing w:val="-6"/>
                <w:sz w:val="24"/>
                <w:szCs w:val="24"/>
              </w:rPr>
              <w:t>-</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kern w:val="0"/>
                <w:sz w:val="24"/>
                <w:szCs w:val="24"/>
                <w:lang w:eastAsia="en-US"/>
              </w:rPr>
            </w:pPr>
            <w:r>
              <w:rPr>
                <w:rFonts w:asciiTheme="minorEastAsia" w:eastAsiaTheme="minorEastAsia" w:hAnsiTheme="minorEastAsia" w:hint="eastAsia"/>
                <w:spacing w:val="-6"/>
                <w:sz w:val="24"/>
                <w:szCs w:val="24"/>
              </w:rPr>
              <w:t>130.43</w:t>
            </w:r>
          </w:p>
        </w:tc>
        <w:tc>
          <w:tcPr>
            <w:tcW w:w="1290"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spacing w:val="-6"/>
                <w:sz w:val="24"/>
                <w:szCs w:val="24"/>
              </w:rPr>
              <w:t>-</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kern w:val="0"/>
                <w:sz w:val="24"/>
                <w:szCs w:val="24"/>
                <w:lang w:eastAsia="en-US"/>
              </w:rPr>
            </w:pPr>
            <w:r>
              <w:rPr>
                <w:rFonts w:asciiTheme="minorEastAsia" w:eastAsiaTheme="minorEastAsia" w:hAnsiTheme="minorEastAsia"/>
                <w:spacing w:val="-6"/>
                <w:sz w:val="24"/>
                <w:szCs w:val="24"/>
              </w:rPr>
              <w:t>1,594.59</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kern w:val="0"/>
                <w:sz w:val="24"/>
                <w:szCs w:val="24"/>
                <w:lang w:eastAsia="en-US"/>
              </w:rPr>
            </w:pPr>
            <w:r>
              <w:rPr>
                <w:rFonts w:asciiTheme="minorEastAsia" w:eastAsiaTheme="minorEastAsia" w:hAnsiTheme="minorEastAsia"/>
                <w:spacing w:val="-6"/>
                <w:sz w:val="24"/>
                <w:szCs w:val="24"/>
              </w:rPr>
              <w:t>1,</w:t>
            </w:r>
            <w:r>
              <w:rPr>
                <w:rFonts w:asciiTheme="minorEastAsia" w:eastAsiaTheme="minorEastAsia" w:hAnsiTheme="minorEastAsia" w:hint="eastAsia"/>
                <w:spacing w:val="-6"/>
                <w:sz w:val="24"/>
                <w:szCs w:val="24"/>
              </w:rPr>
              <w:t>630.14</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spacing w:val="-6"/>
                <w:sz w:val="24"/>
                <w:szCs w:val="24"/>
              </w:rPr>
              <w:t>5,</w:t>
            </w:r>
            <w:r>
              <w:rPr>
                <w:rFonts w:asciiTheme="minorEastAsia" w:eastAsiaTheme="minorEastAsia" w:hAnsiTheme="minorEastAsia" w:hint="eastAsia"/>
                <w:spacing w:val="-6"/>
                <w:sz w:val="24"/>
                <w:szCs w:val="24"/>
              </w:rPr>
              <w:t>964.08</w:t>
            </w:r>
          </w:p>
        </w:tc>
        <w:tc>
          <w:tcPr>
            <w:tcW w:w="1276"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5</w:t>
            </w:r>
            <w:r>
              <w:rPr>
                <w:rFonts w:asciiTheme="minorEastAsia" w:eastAsiaTheme="minorEastAsia" w:hAnsiTheme="minorEastAsia"/>
                <w:spacing w:val="-6"/>
                <w:sz w:val="24"/>
                <w:szCs w:val="24"/>
              </w:rPr>
              <w:t>,</w:t>
            </w:r>
            <w:r>
              <w:rPr>
                <w:rFonts w:asciiTheme="minorEastAsia" w:eastAsiaTheme="minorEastAsia" w:hAnsiTheme="minorEastAsia" w:hint="eastAsia"/>
                <w:spacing w:val="-6"/>
                <w:sz w:val="24"/>
                <w:szCs w:val="24"/>
              </w:rPr>
              <w:t>151.81</w:t>
            </w:r>
          </w:p>
        </w:tc>
      </w:tr>
      <w:tr w:rsidR="008768CC" w:rsidTr="00293A0E">
        <w:trPr>
          <w:trHeight w:val="340"/>
          <w:jc w:val="center"/>
        </w:trPr>
        <w:tc>
          <w:tcPr>
            <w:tcW w:w="1135" w:type="dxa"/>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本期减少</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kern w:val="0"/>
                <w:sz w:val="24"/>
                <w:szCs w:val="24"/>
                <w:lang w:eastAsia="en-US"/>
              </w:rPr>
            </w:pPr>
            <w:r>
              <w:rPr>
                <w:rFonts w:asciiTheme="minorEastAsia" w:eastAsiaTheme="minorEastAsia" w:hAnsiTheme="minorEastAsia"/>
                <w:spacing w:val="-6"/>
                <w:sz w:val="24"/>
                <w:szCs w:val="24"/>
              </w:rPr>
              <w:t>-</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kern w:val="0"/>
                <w:sz w:val="24"/>
                <w:szCs w:val="24"/>
                <w:lang w:eastAsia="en-US"/>
              </w:rPr>
            </w:pPr>
            <w:r>
              <w:rPr>
                <w:rFonts w:asciiTheme="minorEastAsia" w:eastAsiaTheme="minorEastAsia" w:hAnsiTheme="minorEastAsia"/>
                <w:spacing w:val="-6"/>
                <w:sz w:val="24"/>
                <w:szCs w:val="24"/>
              </w:rPr>
              <w:t>-</w:t>
            </w:r>
          </w:p>
        </w:tc>
        <w:tc>
          <w:tcPr>
            <w:tcW w:w="1290"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kern w:val="0"/>
                <w:sz w:val="24"/>
                <w:szCs w:val="24"/>
                <w:lang w:eastAsia="en-US"/>
              </w:rPr>
            </w:pPr>
            <w:r>
              <w:rPr>
                <w:rFonts w:asciiTheme="minorEastAsia" w:eastAsiaTheme="minorEastAsia" w:hAnsiTheme="minorEastAsia"/>
                <w:spacing w:val="-6"/>
                <w:sz w:val="24"/>
                <w:szCs w:val="24"/>
              </w:rPr>
              <w:t>4,167.43</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spacing w:val="-6"/>
                <w:sz w:val="24"/>
                <w:szCs w:val="24"/>
              </w:rPr>
              <w:t>-</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spacing w:val="-6"/>
                <w:sz w:val="24"/>
                <w:szCs w:val="24"/>
              </w:rPr>
              <w:t>-</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spacing w:val="-6"/>
                <w:sz w:val="24"/>
                <w:szCs w:val="24"/>
              </w:rPr>
              <w:t>-</w:t>
            </w:r>
          </w:p>
        </w:tc>
        <w:tc>
          <w:tcPr>
            <w:tcW w:w="1276"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spacing w:val="-6"/>
                <w:sz w:val="24"/>
                <w:szCs w:val="24"/>
              </w:rPr>
              <w:t>-</w:t>
            </w:r>
          </w:p>
        </w:tc>
      </w:tr>
      <w:tr w:rsidR="008768CC" w:rsidTr="00293A0E">
        <w:trPr>
          <w:trHeight w:val="340"/>
          <w:jc w:val="center"/>
        </w:trPr>
        <w:tc>
          <w:tcPr>
            <w:tcW w:w="1135" w:type="dxa"/>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期末数</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kern w:val="0"/>
                <w:sz w:val="24"/>
                <w:szCs w:val="24"/>
                <w:lang w:eastAsia="en-US"/>
              </w:rPr>
            </w:pPr>
            <w:r>
              <w:rPr>
                <w:rFonts w:asciiTheme="minorEastAsia" w:eastAsiaTheme="minorEastAsia" w:hAnsiTheme="minorEastAsia"/>
                <w:spacing w:val="-6"/>
                <w:sz w:val="24"/>
                <w:szCs w:val="24"/>
              </w:rPr>
              <w:t xml:space="preserve">61,197.65  </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kern w:val="0"/>
                <w:sz w:val="24"/>
                <w:szCs w:val="24"/>
                <w:lang w:eastAsia="en-US"/>
              </w:rPr>
            </w:pPr>
            <w:r>
              <w:rPr>
                <w:rFonts w:asciiTheme="minorEastAsia" w:eastAsiaTheme="minorEastAsia" w:hAnsiTheme="minorEastAsia"/>
                <w:spacing w:val="-6"/>
                <w:sz w:val="24"/>
                <w:szCs w:val="24"/>
              </w:rPr>
              <w:t>29,971.65</w:t>
            </w:r>
          </w:p>
        </w:tc>
        <w:tc>
          <w:tcPr>
            <w:tcW w:w="1290"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spacing w:val="-6"/>
                <w:sz w:val="24"/>
                <w:szCs w:val="24"/>
              </w:rPr>
              <w:t>-14,795.34</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spacing w:val="-6"/>
                <w:sz w:val="24"/>
                <w:szCs w:val="24"/>
              </w:rPr>
              <w:t>24,078.18</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spacing w:val="-6"/>
                <w:sz w:val="24"/>
                <w:szCs w:val="24"/>
              </w:rPr>
              <w:t>50,8</w:t>
            </w:r>
            <w:r>
              <w:rPr>
                <w:rFonts w:asciiTheme="minorEastAsia" w:eastAsiaTheme="minorEastAsia" w:hAnsiTheme="minorEastAsia" w:hint="eastAsia"/>
                <w:spacing w:val="-6"/>
                <w:sz w:val="24"/>
                <w:szCs w:val="24"/>
              </w:rPr>
              <w:t>50.21</w:t>
            </w:r>
          </w:p>
        </w:tc>
        <w:tc>
          <w:tcPr>
            <w:tcW w:w="1134"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spacing w:val="-6"/>
                <w:sz w:val="24"/>
                <w:szCs w:val="24"/>
              </w:rPr>
              <w:t>43,</w:t>
            </w:r>
            <w:r>
              <w:rPr>
                <w:rFonts w:asciiTheme="minorEastAsia" w:eastAsiaTheme="minorEastAsia" w:hAnsiTheme="minorEastAsia" w:hint="eastAsia"/>
                <w:spacing w:val="-6"/>
                <w:sz w:val="24"/>
                <w:szCs w:val="24"/>
              </w:rPr>
              <w:t>901.84</w:t>
            </w:r>
          </w:p>
        </w:tc>
        <w:tc>
          <w:tcPr>
            <w:tcW w:w="1276" w:type="dxa"/>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pacing w:val="-6"/>
                <w:sz w:val="24"/>
                <w:szCs w:val="24"/>
              </w:rPr>
            </w:pPr>
            <w:r>
              <w:rPr>
                <w:rFonts w:asciiTheme="minorEastAsia" w:eastAsiaTheme="minorEastAsia" w:hAnsiTheme="minorEastAsia"/>
                <w:spacing w:val="-6"/>
                <w:sz w:val="24"/>
                <w:szCs w:val="24"/>
              </w:rPr>
              <w:t>19</w:t>
            </w:r>
            <w:r>
              <w:rPr>
                <w:rFonts w:asciiTheme="minorEastAsia" w:eastAsiaTheme="minorEastAsia" w:hAnsiTheme="minorEastAsia" w:hint="eastAsia"/>
                <w:spacing w:val="-6"/>
                <w:sz w:val="24"/>
                <w:szCs w:val="24"/>
              </w:rPr>
              <w:t>5</w:t>
            </w:r>
            <w:r>
              <w:rPr>
                <w:rFonts w:asciiTheme="minorEastAsia" w:eastAsiaTheme="minorEastAsia" w:hAnsiTheme="minorEastAsia"/>
                <w:spacing w:val="-6"/>
                <w:sz w:val="24"/>
                <w:szCs w:val="24"/>
              </w:rPr>
              <w:t>,</w:t>
            </w:r>
            <w:r>
              <w:rPr>
                <w:rFonts w:asciiTheme="minorEastAsia" w:eastAsiaTheme="minorEastAsia" w:hAnsiTheme="minorEastAsia" w:hint="eastAsia"/>
                <w:spacing w:val="-6"/>
                <w:sz w:val="24"/>
                <w:szCs w:val="24"/>
              </w:rPr>
              <w:t>204.19</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p>
    <w:p w:rsidR="008768CC" w:rsidRDefault="008768CC" w:rsidP="008768CC">
      <w:pPr>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8.管理</w:t>
      </w:r>
      <w:proofErr w:type="gramStart"/>
      <w:r>
        <w:rPr>
          <w:rFonts w:asciiTheme="minorEastAsia" w:eastAsiaTheme="minorEastAsia" w:hAnsiTheme="minorEastAsia" w:hint="eastAsia"/>
          <w:b/>
          <w:sz w:val="24"/>
          <w:szCs w:val="24"/>
        </w:rPr>
        <w:t>层讨论</w:t>
      </w:r>
      <w:proofErr w:type="gramEnd"/>
      <w:r>
        <w:rPr>
          <w:rFonts w:asciiTheme="minorEastAsia" w:eastAsiaTheme="minorEastAsia" w:hAnsiTheme="minorEastAsia" w:hint="eastAsia"/>
          <w:b/>
          <w:sz w:val="24"/>
          <w:szCs w:val="24"/>
        </w:rPr>
        <w:t>与分析</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color w:val="000000" w:themeColor="text1"/>
          <w:kern w:val="0"/>
          <w:sz w:val="24"/>
          <w:szCs w:val="24"/>
        </w:rPr>
      </w:pPr>
      <w:r>
        <w:rPr>
          <w:rFonts w:asciiTheme="minorEastAsia" w:eastAsiaTheme="minorEastAsia" w:hAnsiTheme="minorEastAsia" w:cs="宋体" w:hint="eastAsia"/>
          <w:b/>
          <w:color w:val="000000" w:themeColor="text1"/>
          <w:kern w:val="0"/>
          <w:sz w:val="24"/>
          <w:szCs w:val="24"/>
        </w:rPr>
        <w:t>8.1经营情况回顾</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color w:val="000000" w:themeColor="text1"/>
          <w:kern w:val="0"/>
          <w:sz w:val="24"/>
          <w:szCs w:val="24"/>
        </w:rPr>
      </w:pPr>
      <w:r>
        <w:rPr>
          <w:rFonts w:asciiTheme="minorEastAsia" w:eastAsiaTheme="minorEastAsia" w:hAnsiTheme="minorEastAsia" w:cs="宋体" w:hint="eastAsia"/>
          <w:b/>
          <w:color w:val="000000" w:themeColor="text1"/>
          <w:kern w:val="0"/>
          <w:sz w:val="24"/>
          <w:szCs w:val="24"/>
        </w:rPr>
        <w:t>8.1.1总体经营概况</w:t>
      </w:r>
    </w:p>
    <w:p w:rsidR="008768CC" w:rsidRDefault="008768CC" w:rsidP="008768CC">
      <w:pPr>
        <w:spacing w:line="500" w:lineRule="exact"/>
        <w:ind w:firstLineChars="0" w:firstLine="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2023年，本行坚持以习近平新时代中国特色社会主义思想为指导，全面贯彻落实党的二十大精神，紧密围绕省联社战略部署，坚持稳字当头、稳中求进，统筹业务经营发展和安全，各项工作保持良好的发展态势。</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1.业务规模稳健发展</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截至报告期末，本行总资产272.2亿元，比年初增加5.08亿元，增长1.9</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；人民币各项存款余额245.23亿元，比年初增加5.99亿元，增幅2.50</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，存款规模稳步壮大；本外币各项贷款余额</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37.08亿元，比年初增加1.96亿元，增幅1.45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，信贷规模合理增长；人民币存款市场份额44.05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，人民币贷款市场份额38.68</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，存、贷款市场份额继续保持当地金融机构第一位。</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b/>
          <w:kern w:val="0"/>
          <w:sz w:val="24"/>
          <w:szCs w:val="24"/>
        </w:rPr>
        <w:t>2.</w:t>
      </w:r>
      <w:r>
        <w:rPr>
          <w:rFonts w:asciiTheme="minorEastAsia" w:eastAsiaTheme="minorEastAsia" w:hAnsiTheme="minorEastAsia" w:cs="宋体" w:hint="eastAsia"/>
          <w:kern w:val="0"/>
          <w:sz w:val="24"/>
          <w:szCs w:val="24"/>
        </w:rPr>
        <w:t xml:space="preserve"> 资产质量稳定可控</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截至报告期末，本行不良贷款余额1.16亿元，同比减少0.04亿元，降幅3.22</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；不良贷款率</w:t>
      </w:r>
      <w:r>
        <w:rPr>
          <w:rFonts w:asciiTheme="minorEastAsia" w:eastAsiaTheme="minorEastAsia" w:hAnsiTheme="minorEastAsia" w:cs="宋体"/>
          <w:kern w:val="0"/>
          <w:sz w:val="24"/>
          <w:szCs w:val="24"/>
        </w:rPr>
        <w:t>0.8</w:t>
      </w:r>
      <w:r>
        <w:rPr>
          <w:rFonts w:asciiTheme="minorEastAsia" w:eastAsiaTheme="minorEastAsia" w:hAnsiTheme="minorEastAsia" w:cs="宋体" w:hint="eastAsia"/>
          <w:kern w:val="0"/>
          <w:sz w:val="24"/>
          <w:szCs w:val="24"/>
        </w:rPr>
        <w:t>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，同比下降</w:t>
      </w:r>
      <w:r>
        <w:rPr>
          <w:rFonts w:asciiTheme="minorEastAsia" w:eastAsiaTheme="minorEastAsia" w:hAnsiTheme="minorEastAsia" w:cs="宋体"/>
          <w:kern w:val="0"/>
          <w:sz w:val="24"/>
          <w:szCs w:val="24"/>
        </w:rPr>
        <w:t>0.0</w:t>
      </w:r>
      <w:r>
        <w:rPr>
          <w:rFonts w:asciiTheme="minorEastAsia" w:eastAsiaTheme="minorEastAsia" w:hAnsiTheme="minorEastAsia" w:cs="宋体" w:hint="eastAsia"/>
          <w:kern w:val="0"/>
          <w:sz w:val="24"/>
          <w:szCs w:val="24"/>
        </w:rPr>
        <w:t>4个百分点；拨备覆盖率和贷款</w:t>
      </w:r>
      <w:proofErr w:type="gramStart"/>
      <w:r>
        <w:rPr>
          <w:rFonts w:asciiTheme="minorEastAsia" w:eastAsiaTheme="minorEastAsia" w:hAnsiTheme="minorEastAsia" w:cs="宋体" w:hint="eastAsia"/>
          <w:kern w:val="0"/>
          <w:sz w:val="24"/>
          <w:szCs w:val="24"/>
        </w:rPr>
        <w:t>拨备率分别</w:t>
      </w:r>
      <w:proofErr w:type="gramEnd"/>
      <w:r>
        <w:rPr>
          <w:rFonts w:asciiTheme="minorEastAsia" w:eastAsiaTheme="minorEastAsia" w:hAnsiTheme="minorEastAsia" w:cs="宋体" w:hint="eastAsia"/>
          <w:kern w:val="0"/>
          <w:sz w:val="24"/>
          <w:szCs w:val="24"/>
        </w:rPr>
        <w:t>为318.87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和</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，资产质量稳定可控，拨</w:t>
      </w:r>
      <w:proofErr w:type="gramStart"/>
      <w:r>
        <w:rPr>
          <w:rFonts w:asciiTheme="minorEastAsia" w:eastAsiaTheme="minorEastAsia" w:hAnsiTheme="minorEastAsia" w:cs="宋体" w:hint="eastAsia"/>
          <w:kern w:val="0"/>
          <w:sz w:val="24"/>
          <w:szCs w:val="24"/>
        </w:rPr>
        <w:t>备水平</w:t>
      </w:r>
      <w:proofErr w:type="gramEnd"/>
      <w:r>
        <w:rPr>
          <w:rFonts w:asciiTheme="minorEastAsia" w:eastAsiaTheme="minorEastAsia" w:hAnsiTheme="minorEastAsia" w:cs="宋体" w:hint="eastAsia"/>
          <w:kern w:val="0"/>
          <w:sz w:val="24"/>
          <w:szCs w:val="24"/>
        </w:rPr>
        <w:t>保持良好。</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3.</w:t>
      </w:r>
      <w:r>
        <w:rPr>
          <w:rFonts w:asciiTheme="minorEastAsia" w:eastAsiaTheme="minorEastAsia" w:hAnsiTheme="minorEastAsia" w:cs="宋体" w:hint="eastAsia"/>
          <w:b/>
          <w:kern w:val="0"/>
          <w:sz w:val="24"/>
          <w:szCs w:val="24"/>
        </w:rPr>
        <w:t>资本充足率保持良好</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截至报告期末，本行加权风险资产130.58亿元，比年初减少4.25亿元，降幅3.16</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；资本净额20.98亿元，比年初增加0.66亿元，增幅3.22</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；一级资本净额19.52亿元，比年初增加0.72亿元，增幅3.81</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；资本充足率和核心资本充足率分别为16.07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和14.95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，资本充足水平保持良好。</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4.</w:t>
      </w:r>
      <w:r>
        <w:rPr>
          <w:rFonts w:asciiTheme="minorEastAsia" w:eastAsiaTheme="minorEastAsia" w:hAnsiTheme="minorEastAsia" w:cs="宋体" w:hint="eastAsia"/>
          <w:b/>
          <w:kern w:val="0"/>
          <w:sz w:val="24"/>
          <w:szCs w:val="24"/>
        </w:rPr>
        <w:t>股东价值有效保持</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报告期内，本行实现每股净资产</w:t>
      </w:r>
      <w:r>
        <w:rPr>
          <w:rFonts w:asciiTheme="minorEastAsia" w:eastAsiaTheme="minorEastAsia" w:hAnsiTheme="minorEastAsia" w:cs="宋体"/>
          <w:kern w:val="0"/>
          <w:sz w:val="24"/>
          <w:szCs w:val="24"/>
        </w:rPr>
        <w:t>3.1</w:t>
      </w:r>
      <w:r>
        <w:rPr>
          <w:rFonts w:asciiTheme="minorEastAsia" w:eastAsiaTheme="minorEastAsia" w:hAnsiTheme="minorEastAsia" w:cs="宋体" w:hint="eastAsia"/>
          <w:kern w:val="0"/>
          <w:sz w:val="24"/>
          <w:szCs w:val="24"/>
        </w:rPr>
        <w:t>9元，同比增加</w:t>
      </w:r>
      <w:r>
        <w:rPr>
          <w:rFonts w:asciiTheme="minorEastAsia" w:eastAsiaTheme="minorEastAsia" w:hAnsiTheme="minorEastAsia" w:cs="宋体"/>
          <w:kern w:val="0"/>
          <w:sz w:val="24"/>
          <w:szCs w:val="24"/>
        </w:rPr>
        <w:t>0.0</w:t>
      </w:r>
      <w:r>
        <w:rPr>
          <w:rFonts w:asciiTheme="minorEastAsia" w:eastAsiaTheme="minorEastAsia" w:hAnsiTheme="minorEastAsia" w:cs="宋体" w:hint="eastAsia"/>
          <w:kern w:val="0"/>
          <w:sz w:val="24"/>
          <w:szCs w:val="24"/>
        </w:rPr>
        <w:t>8元，增幅</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71</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 xml:space="preserve"> </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报告期内，受经济恢复基础不稳固、大行下沉、银行业利差收窄等多重因素影响，本行实现各项营业收入6.17亿元，同比增加</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1</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亿元，增幅1.82</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；营业支出4.03亿元，同比增加</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18亿元，增幅4.64</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；实现营业利润2.13亿元，同比减少</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07亿元，</w:t>
      </w:r>
      <w:r>
        <w:rPr>
          <w:rFonts w:asciiTheme="minorEastAsia" w:eastAsiaTheme="minorEastAsia" w:hAnsiTheme="minorEastAsia" w:cs="宋体" w:hint="eastAsia"/>
          <w:kern w:val="0"/>
          <w:sz w:val="24"/>
          <w:szCs w:val="24"/>
        </w:rPr>
        <w:lastRenderedPageBreak/>
        <w:t>降幅3.11</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；利润总额</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13亿元，同比减少</w:t>
      </w:r>
      <w:r>
        <w:rPr>
          <w:rFonts w:asciiTheme="minorEastAsia" w:eastAsiaTheme="minorEastAsia" w:hAnsiTheme="minorEastAsia" w:cs="宋体"/>
          <w:kern w:val="0"/>
          <w:sz w:val="24"/>
          <w:szCs w:val="24"/>
        </w:rPr>
        <w:t>0.0</w:t>
      </w:r>
      <w:r>
        <w:rPr>
          <w:rFonts w:asciiTheme="minorEastAsia" w:eastAsiaTheme="minorEastAsia" w:hAnsiTheme="minorEastAsia" w:cs="宋体" w:hint="eastAsia"/>
          <w:kern w:val="0"/>
          <w:sz w:val="24"/>
          <w:szCs w:val="24"/>
        </w:rPr>
        <w:t>7亿元，降幅3.27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；实现净利润</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.59亿元，同比减少</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16亿元，降幅9</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单位：人民币万元</w:t>
      </w:r>
    </w:p>
    <w:tbl>
      <w:tblPr>
        <w:tblW w:w="9322" w:type="dxa"/>
        <w:jc w:val="center"/>
        <w:tblLayout w:type="fixed"/>
        <w:tblLook w:val="04A0" w:firstRow="1" w:lastRow="0" w:firstColumn="1" w:lastColumn="0" w:noHBand="0" w:noVBand="1"/>
      </w:tblPr>
      <w:tblGrid>
        <w:gridCol w:w="1526"/>
        <w:gridCol w:w="1559"/>
        <w:gridCol w:w="1134"/>
        <w:gridCol w:w="1418"/>
        <w:gridCol w:w="1176"/>
        <w:gridCol w:w="1375"/>
        <w:gridCol w:w="1134"/>
      </w:tblGrid>
      <w:tr w:rsidR="008768CC" w:rsidTr="00293A0E">
        <w:trPr>
          <w:trHeight w:val="340"/>
          <w:jc w:val="center"/>
        </w:trPr>
        <w:tc>
          <w:tcPr>
            <w:tcW w:w="1526" w:type="dxa"/>
            <w:vMerge w:val="restart"/>
            <w:tcBorders>
              <w:top w:val="single" w:sz="4" w:space="0" w:color="auto"/>
              <w:left w:val="single" w:sz="4" w:space="0" w:color="auto"/>
              <w:bottom w:val="single" w:sz="4" w:space="0" w:color="000000"/>
              <w:right w:val="single" w:sz="4" w:space="0" w:color="auto"/>
            </w:tcBorders>
            <w:noWrap/>
            <w:vAlign w:val="center"/>
          </w:tcPr>
          <w:p w:rsidR="008768CC" w:rsidRDefault="008768CC" w:rsidP="00293A0E">
            <w:pPr>
              <w:spacing w:line="48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项目</w:t>
            </w:r>
          </w:p>
        </w:tc>
        <w:tc>
          <w:tcPr>
            <w:tcW w:w="2693" w:type="dxa"/>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3年</w:t>
            </w:r>
          </w:p>
        </w:tc>
        <w:tc>
          <w:tcPr>
            <w:tcW w:w="2594" w:type="dxa"/>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2年</w:t>
            </w:r>
          </w:p>
        </w:tc>
        <w:tc>
          <w:tcPr>
            <w:tcW w:w="2509" w:type="dxa"/>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w:t>
            </w:r>
            <w:r>
              <w:rPr>
                <w:rFonts w:asciiTheme="minorEastAsia" w:eastAsiaTheme="minorEastAsia" w:hAnsiTheme="minorEastAsia" w:cs="宋体" w:hint="eastAsia"/>
                <w:b/>
                <w:kern w:val="0"/>
                <w:sz w:val="24"/>
                <w:szCs w:val="24"/>
              </w:rPr>
              <w:t>21年</w:t>
            </w:r>
          </w:p>
        </w:tc>
      </w:tr>
      <w:tr w:rsidR="008768CC" w:rsidTr="00293A0E">
        <w:trPr>
          <w:trHeight w:val="340"/>
          <w:jc w:val="center"/>
        </w:trPr>
        <w:tc>
          <w:tcPr>
            <w:tcW w:w="1526" w:type="dxa"/>
            <w:vMerge/>
            <w:tcBorders>
              <w:top w:val="single" w:sz="4" w:space="0" w:color="auto"/>
              <w:left w:val="single" w:sz="4" w:space="0" w:color="auto"/>
              <w:bottom w:val="single" w:sz="4" w:space="0" w:color="000000"/>
              <w:right w:val="single" w:sz="4" w:space="0" w:color="auto"/>
            </w:tcBorders>
            <w:vAlign w:val="center"/>
          </w:tcPr>
          <w:p w:rsidR="008768CC" w:rsidRDefault="008768CC" w:rsidP="00293A0E">
            <w:pPr>
              <w:spacing w:line="480" w:lineRule="exact"/>
              <w:ind w:firstLineChars="0" w:firstLine="0"/>
              <w:jc w:val="center"/>
              <w:rPr>
                <w:rFonts w:asciiTheme="minorEastAsia" w:eastAsiaTheme="minorEastAsia" w:hAnsiTheme="minorEastAsia"/>
                <w:b/>
                <w:sz w:val="24"/>
                <w:szCs w:val="24"/>
              </w:rPr>
            </w:pPr>
          </w:p>
        </w:tc>
        <w:tc>
          <w:tcPr>
            <w:tcW w:w="1559" w:type="dxa"/>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1134" w:type="dxa"/>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同比</w:t>
            </w:r>
          </w:p>
        </w:tc>
        <w:tc>
          <w:tcPr>
            <w:tcW w:w="1418" w:type="dxa"/>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1176" w:type="dxa"/>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同比</w:t>
            </w:r>
          </w:p>
        </w:tc>
        <w:tc>
          <w:tcPr>
            <w:tcW w:w="1375" w:type="dxa"/>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1134" w:type="dxa"/>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同比</w:t>
            </w:r>
          </w:p>
        </w:tc>
      </w:tr>
      <w:tr w:rsidR="008768CC" w:rsidTr="00293A0E">
        <w:trPr>
          <w:trHeight w:val="340"/>
          <w:jc w:val="center"/>
        </w:trPr>
        <w:tc>
          <w:tcPr>
            <w:tcW w:w="1526" w:type="dxa"/>
            <w:tcBorders>
              <w:top w:val="nil"/>
              <w:left w:val="single" w:sz="4" w:space="0" w:color="auto"/>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营业收入</w:t>
            </w:r>
          </w:p>
        </w:tc>
        <w:tc>
          <w:tcPr>
            <w:tcW w:w="1559" w:type="dxa"/>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61,689.23</w:t>
            </w:r>
          </w:p>
        </w:tc>
        <w:tc>
          <w:tcPr>
            <w:tcW w:w="1134" w:type="dxa"/>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1.82</w:t>
            </w:r>
            <w:r>
              <w:rPr>
                <w:rFonts w:asciiTheme="minorEastAsia" w:eastAsiaTheme="minorEastAsia" w:hAnsiTheme="minorEastAsia"/>
                <w:sz w:val="24"/>
                <w:szCs w:val="24"/>
              </w:rPr>
              <w:t>%</w:t>
            </w:r>
          </w:p>
        </w:tc>
        <w:tc>
          <w:tcPr>
            <w:tcW w:w="1418" w:type="dxa"/>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60,586.65</w:t>
            </w:r>
          </w:p>
        </w:tc>
        <w:tc>
          <w:tcPr>
            <w:tcW w:w="1176" w:type="dxa"/>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-0.22%</w:t>
            </w:r>
          </w:p>
        </w:tc>
        <w:tc>
          <w:tcPr>
            <w:tcW w:w="1375" w:type="dxa"/>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60,719.22</w:t>
            </w:r>
          </w:p>
        </w:tc>
        <w:tc>
          <w:tcPr>
            <w:tcW w:w="1134" w:type="dxa"/>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5.35%</w:t>
            </w:r>
          </w:p>
        </w:tc>
      </w:tr>
      <w:tr w:rsidR="008768CC" w:rsidTr="00293A0E">
        <w:trPr>
          <w:trHeight w:val="340"/>
          <w:jc w:val="center"/>
        </w:trPr>
        <w:tc>
          <w:tcPr>
            <w:tcW w:w="1526" w:type="dxa"/>
            <w:tcBorders>
              <w:top w:val="nil"/>
              <w:left w:val="single" w:sz="4" w:space="0" w:color="auto"/>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其中：利息净收入</w:t>
            </w:r>
          </w:p>
        </w:tc>
        <w:tc>
          <w:tcPr>
            <w:tcW w:w="1559" w:type="dxa"/>
            <w:tcBorders>
              <w:top w:val="nil"/>
              <w:left w:val="nil"/>
              <w:bottom w:val="single" w:sz="4" w:space="0" w:color="auto"/>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58,608.88</w:t>
            </w:r>
          </w:p>
        </w:tc>
        <w:tc>
          <w:tcPr>
            <w:tcW w:w="1134" w:type="dxa"/>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1.50</w:t>
            </w:r>
            <w:r>
              <w:rPr>
                <w:rFonts w:asciiTheme="minorEastAsia" w:eastAsiaTheme="minorEastAsia" w:hAnsiTheme="minorEastAsia"/>
                <w:sz w:val="24"/>
                <w:szCs w:val="24"/>
              </w:rPr>
              <w:t>%</w:t>
            </w:r>
          </w:p>
        </w:tc>
        <w:tc>
          <w:tcPr>
            <w:tcW w:w="1418" w:type="dxa"/>
            <w:tcBorders>
              <w:top w:val="nil"/>
              <w:left w:val="nil"/>
              <w:bottom w:val="single" w:sz="4" w:space="0" w:color="auto"/>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57,745.39</w:t>
            </w:r>
          </w:p>
        </w:tc>
        <w:tc>
          <w:tcPr>
            <w:tcW w:w="1176" w:type="dxa"/>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3.24%</w:t>
            </w:r>
          </w:p>
        </w:tc>
        <w:tc>
          <w:tcPr>
            <w:tcW w:w="1375" w:type="dxa"/>
            <w:tcBorders>
              <w:top w:val="nil"/>
              <w:left w:val="nil"/>
              <w:bottom w:val="single" w:sz="4" w:space="0" w:color="auto"/>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55,931.56</w:t>
            </w:r>
          </w:p>
        </w:tc>
        <w:tc>
          <w:tcPr>
            <w:tcW w:w="1134" w:type="dxa"/>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1.07%</w:t>
            </w:r>
          </w:p>
        </w:tc>
      </w:tr>
      <w:tr w:rsidR="008768CC" w:rsidTr="00293A0E">
        <w:trPr>
          <w:trHeight w:val="340"/>
          <w:jc w:val="center"/>
        </w:trPr>
        <w:tc>
          <w:tcPr>
            <w:tcW w:w="1526" w:type="dxa"/>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手续费及佣金净收入</w:t>
            </w:r>
          </w:p>
        </w:tc>
        <w:tc>
          <w:tcPr>
            <w:tcW w:w="1559" w:type="dxa"/>
            <w:tcBorders>
              <w:top w:val="single" w:sz="4" w:space="0" w:color="auto"/>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127.99</w:t>
            </w:r>
          </w:p>
        </w:tc>
        <w:tc>
          <w:tcPr>
            <w:tcW w:w="1134" w:type="dxa"/>
            <w:tcBorders>
              <w:top w:val="single" w:sz="4" w:space="0" w:color="auto"/>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29.50</w:t>
            </w:r>
            <w:r>
              <w:rPr>
                <w:rFonts w:asciiTheme="minorEastAsia" w:eastAsiaTheme="minorEastAsia" w:hAnsiTheme="minorEastAsia"/>
                <w:sz w:val="24"/>
                <w:szCs w:val="24"/>
              </w:rPr>
              <w:t>%</w:t>
            </w:r>
          </w:p>
        </w:tc>
        <w:tc>
          <w:tcPr>
            <w:tcW w:w="1418" w:type="dxa"/>
            <w:tcBorders>
              <w:top w:val="single" w:sz="4" w:space="0" w:color="auto"/>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181.54</w:t>
            </w:r>
          </w:p>
        </w:tc>
        <w:tc>
          <w:tcPr>
            <w:tcW w:w="1176" w:type="dxa"/>
            <w:tcBorders>
              <w:top w:val="single" w:sz="4" w:space="0" w:color="auto"/>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-57%</w:t>
            </w:r>
          </w:p>
        </w:tc>
        <w:tc>
          <w:tcPr>
            <w:tcW w:w="1375" w:type="dxa"/>
            <w:tcBorders>
              <w:top w:val="single" w:sz="4" w:space="0" w:color="auto"/>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422.18</w:t>
            </w:r>
          </w:p>
        </w:tc>
        <w:tc>
          <w:tcPr>
            <w:tcW w:w="1134" w:type="dxa"/>
            <w:tcBorders>
              <w:top w:val="single" w:sz="4" w:space="0" w:color="auto"/>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-26.41%</w:t>
            </w:r>
          </w:p>
        </w:tc>
      </w:tr>
      <w:tr w:rsidR="008768CC" w:rsidTr="00293A0E">
        <w:trPr>
          <w:trHeight w:val="340"/>
          <w:jc w:val="center"/>
        </w:trPr>
        <w:tc>
          <w:tcPr>
            <w:tcW w:w="1526" w:type="dxa"/>
            <w:tcBorders>
              <w:top w:val="nil"/>
              <w:left w:val="single" w:sz="4" w:space="0" w:color="auto"/>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营业支出</w:t>
            </w:r>
          </w:p>
        </w:tc>
        <w:tc>
          <w:tcPr>
            <w:tcW w:w="1559" w:type="dxa"/>
            <w:tcBorders>
              <w:top w:val="nil"/>
              <w:left w:val="nil"/>
              <w:bottom w:val="single" w:sz="4" w:space="0" w:color="000000"/>
              <w:right w:val="single" w:sz="4" w:space="0" w:color="000000"/>
            </w:tcBorders>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40,345.73</w:t>
            </w:r>
          </w:p>
        </w:tc>
        <w:tc>
          <w:tcPr>
            <w:tcW w:w="1134" w:type="dxa"/>
            <w:tcBorders>
              <w:top w:val="nil"/>
              <w:left w:val="nil"/>
              <w:bottom w:val="single" w:sz="4" w:space="0" w:color="auto"/>
              <w:right w:val="single" w:sz="4" w:space="0" w:color="auto"/>
            </w:tcBorders>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4.64</w:t>
            </w:r>
            <w:r>
              <w:rPr>
                <w:rFonts w:asciiTheme="minorEastAsia" w:eastAsiaTheme="minorEastAsia" w:hAnsiTheme="minorEastAsia"/>
                <w:sz w:val="24"/>
                <w:szCs w:val="24"/>
              </w:rPr>
              <w:t>%</w:t>
            </w:r>
          </w:p>
        </w:tc>
        <w:tc>
          <w:tcPr>
            <w:tcW w:w="1418" w:type="dxa"/>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38,557.59</w:t>
            </w:r>
          </w:p>
        </w:tc>
        <w:tc>
          <w:tcPr>
            <w:tcW w:w="1176" w:type="dxa"/>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2.76%</w:t>
            </w:r>
          </w:p>
        </w:tc>
        <w:tc>
          <w:tcPr>
            <w:tcW w:w="1375" w:type="dxa"/>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37,521.06</w:t>
            </w:r>
          </w:p>
        </w:tc>
        <w:tc>
          <w:tcPr>
            <w:tcW w:w="1134" w:type="dxa"/>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7.84%</w:t>
            </w:r>
          </w:p>
        </w:tc>
      </w:tr>
      <w:tr w:rsidR="008768CC" w:rsidTr="00293A0E">
        <w:trPr>
          <w:trHeight w:val="340"/>
          <w:jc w:val="center"/>
        </w:trPr>
        <w:tc>
          <w:tcPr>
            <w:tcW w:w="1526" w:type="dxa"/>
            <w:tcBorders>
              <w:top w:val="nil"/>
              <w:left w:val="single" w:sz="4" w:space="0" w:color="auto"/>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营业利润</w:t>
            </w:r>
          </w:p>
        </w:tc>
        <w:tc>
          <w:tcPr>
            <w:tcW w:w="1559" w:type="dxa"/>
            <w:tcBorders>
              <w:top w:val="nil"/>
              <w:left w:val="nil"/>
              <w:bottom w:val="single" w:sz="4" w:space="0" w:color="000000"/>
              <w:right w:val="single" w:sz="4" w:space="0" w:color="000000"/>
            </w:tcBorders>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21,343.50</w:t>
            </w:r>
          </w:p>
        </w:tc>
        <w:tc>
          <w:tcPr>
            <w:tcW w:w="1134" w:type="dxa"/>
            <w:tcBorders>
              <w:top w:val="nil"/>
              <w:left w:val="nil"/>
              <w:bottom w:val="single" w:sz="4" w:space="0" w:color="auto"/>
              <w:right w:val="single" w:sz="4" w:space="0" w:color="auto"/>
            </w:tcBorders>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-3.11</w:t>
            </w:r>
            <w:r>
              <w:rPr>
                <w:rFonts w:asciiTheme="minorEastAsia" w:eastAsiaTheme="minorEastAsia" w:hAnsiTheme="minorEastAsia"/>
                <w:sz w:val="24"/>
                <w:szCs w:val="24"/>
              </w:rPr>
              <w:t>%</w:t>
            </w:r>
          </w:p>
        </w:tc>
        <w:tc>
          <w:tcPr>
            <w:tcW w:w="1418" w:type="dxa"/>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22,029.06</w:t>
            </w:r>
          </w:p>
        </w:tc>
        <w:tc>
          <w:tcPr>
            <w:tcW w:w="1176" w:type="dxa"/>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-5.04%</w:t>
            </w:r>
          </w:p>
        </w:tc>
        <w:tc>
          <w:tcPr>
            <w:tcW w:w="1375" w:type="dxa"/>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23,198.16</w:t>
            </w:r>
          </w:p>
        </w:tc>
        <w:tc>
          <w:tcPr>
            <w:tcW w:w="1134" w:type="dxa"/>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1.55%</w:t>
            </w:r>
          </w:p>
        </w:tc>
      </w:tr>
      <w:tr w:rsidR="008768CC" w:rsidTr="00293A0E">
        <w:trPr>
          <w:trHeight w:val="340"/>
          <w:jc w:val="center"/>
        </w:trPr>
        <w:tc>
          <w:tcPr>
            <w:tcW w:w="1526" w:type="dxa"/>
            <w:tcBorders>
              <w:top w:val="nil"/>
              <w:left w:val="single" w:sz="4" w:space="0" w:color="auto"/>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利润总额</w:t>
            </w:r>
          </w:p>
        </w:tc>
        <w:tc>
          <w:tcPr>
            <w:tcW w:w="1559" w:type="dxa"/>
            <w:tcBorders>
              <w:top w:val="nil"/>
              <w:left w:val="nil"/>
              <w:bottom w:val="single" w:sz="4" w:space="0" w:color="000000"/>
              <w:right w:val="single" w:sz="4" w:space="0" w:color="000000"/>
            </w:tcBorders>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21,304.20</w:t>
            </w:r>
          </w:p>
        </w:tc>
        <w:tc>
          <w:tcPr>
            <w:tcW w:w="1134" w:type="dxa"/>
            <w:tcBorders>
              <w:top w:val="nil"/>
              <w:left w:val="nil"/>
              <w:bottom w:val="single" w:sz="4" w:space="0" w:color="auto"/>
              <w:right w:val="single" w:sz="4" w:space="0" w:color="auto"/>
            </w:tcBorders>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3.27</w:t>
            </w:r>
            <w:r>
              <w:rPr>
                <w:rFonts w:asciiTheme="minorEastAsia" w:eastAsiaTheme="minorEastAsia" w:hAnsiTheme="minorEastAsia"/>
                <w:sz w:val="24"/>
                <w:szCs w:val="24"/>
              </w:rPr>
              <w:t>%</w:t>
            </w:r>
          </w:p>
        </w:tc>
        <w:tc>
          <w:tcPr>
            <w:tcW w:w="1418" w:type="dxa"/>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22,024.59</w:t>
            </w:r>
          </w:p>
        </w:tc>
        <w:tc>
          <w:tcPr>
            <w:tcW w:w="1176" w:type="dxa"/>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1375" w:type="dxa"/>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22,705.46</w:t>
            </w:r>
          </w:p>
        </w:tc>
        <w:tc>
          <w:tcPr>
            <w:tcW w:w="1134" w:type="dxa"/>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-0.32%</w:t>
            </w:r>
          </w:p>
        </w:tc>
      </w:tr>
      <w:tr w:rsidR="008768CC" w:rsidTr="00293A0E">
        <w:trPr>
          <w:trHeight w:val="340"/>
          <w:jc w:val="center"/>
        </w:trPr>
        <w:tc>
          <w:tcPr>
            <w:tcW w:w="1526" w:type="dxa"/>
            <w:tcBorders>
              <w:top w:val="nil"/>
              <w:left w:val="single" w:sz="4" w:space="0" w:color="auto"/>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净利润</w:t>
            </w:r>
          </w:p>
        </w:tc>
        <w:tc>
          <w:tcPr>
            <w:tcW w:w="1559" w:type="dxa"/>
            <w:tcBorders>
              <w:top w:val="nil"/>
              <w:left w:val="nil"/>
              <w:bottom w:val="single" w:sz="4" w:space="0" w:color="000000"/>
              <w:right w:val="single" w:sz="4" w:space="0" w:color="000000"/>
            </w:tcBorders>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15,945.95</w:t>
            </w:r>
          </w:p>
        </w:tc>
        <w:tc>
          <w:tcPr>
            <w:tcW w:w="1134" w:type="dxa"/>
            <w:tcBorders>
              <w:top w:val="nil"/>
              <w:left w:val="nil"/>
              <w:bottom w:val="single" w:sz="4" w:space="0" w:color="auto"/>
              <w:right w:val="single" w:sz="4" w:space="0" w:color="auto"/>
            </w:tcBorders>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sz w:val="24"/>
                <w:szCs w:val="24"/>
              </w:rPr>
              <w:t>%</w:t>
            </w:r>
          </w:p>
        </w:tc>
        <w:tc>
          <w:tcPr>
            <w:tcW w:w="1418" w:type="dxa"/>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17,523.19</w:t>
            </w:r>
          </w:p>
        </w:tc>
        <w:tc>
          <w:tcPr>
            <w:tcW w:w="1176" w:type="dxa"/>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2.4</w:t>
            </w:r>
            <w:r>
              <w:rPr>
                <w:rFonts w:asciiTheme="minorEastAsia" w:eastAsiaTheme="minorEastAsia" w:hAnsiTheme="minorEastAsia" w:hint="eastAsia"/>
                <w:sz w:val="24"/>
                <w:szCs w:val="24"/>
              </w:rPr>
              <w:t>9</w:t>
            </w:r>
            <w:r>
              <w:rPr>
                <w:rFonts w:asciiTheme="minorEastAsia" w:eastAsiaTheme="minorEastAsia" w:hAnsiTheme="minorEastAsia"/>
                <w:sz w:val="24"/>
                <w:szCs w:val="24"/>
              </w:rPr>
              <w:t>%</w:t>
            </w:r>
          </w:p>
        </w:tc>
        <w:tc>
          <w:tcPr>
            <w:tcW w:w="1375" w:type="dxa"/>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17096.85</w:t>
            </w:r>
          </w:p>
        </w:tc>
        <w:tc>
          <w:tcPr>
            <w:tcW w:w="1134" w:type="dxa"/>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-1.86%</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8.2</w:t>
      </w:r>
      <w:r>
        <w:rPr>
          <w:rFonts w:asciiTheme="minorEastAsia" w:eastAsiaTheme="minorEastAsia" w:hAnsiTheme="minorEastAsia" w:cs="宋体" w:hint="eastAsia"/>
          <w:b/>
          <w:kern w:val="0"/>
          <w:sz w:val="24"/>
          <w:szCs w:val="24"/>
        </w:rPr>
        <w:t>财务报表分析</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8.2.1.1</w:t>
      </w:r>
      <w:r>
        <w:rPr>
          <w:rFonts w:asciiTheme="minorEastAsia" w:eastAsiaTheme="minorEastAsia" w:hAnsiTheme="minorEastAsia" w:cs="宋体" w:hint="eastAsia"/>
          <w:b/>
          <w:kern w:val="0"/>
          <w:sz w:val="24"/>
          <w:szCs w:val="24"/>
        </w:rPr>
        <w:t>营业收入</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报告期内，本行实现营业收入6.17亿元，营业收入主要来源于利息净收入，占营业收入的比重为</w:t>
      </w:r>
      <w:r>
        <w:rPr>
          <w:rFonts w:asciiTheme="minorEastAsia" w:eastAsiaTheme="minorEastAsia" w:hAnsiTheme="minorEastAsia" w:cs="宋体"/>
          <w:kern w:val="0"/>
          <w:sz w:val="24"/>
          <w:szCs w:val="24"/>
        </w:rPr>
        <w:t>9</w:t>
      </w:r>
      <w:r>
        <w:rPr>
          <w:rFonts w:asciiTheme="minorEastAsia" w:eastAsiaTheme="minorEastAsia" w:hAnsiTheme="minorEastAsia" w:cs="宋体" w:hint="eastAsia"/>
          <w:kern w:val="0"/>
          <w:sz w:val="24"/>
          <w:szCs w:val="24"/>
        </w:rPr>
        <w:t>5.01</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单位：人民币万元</w:t>
      </w:r>
    </w:p>
    <w:tbl>
      <w:tblPr>
        <w:tblW w:w="4998" w:type="pct"/>
        <w:jc w:val="center"/>
        <w:tblLook w:val="04A0" w:firstRow="1" w:lastRow="0" w:firstColumn="1" w:lastColumn="0" w:noHBand="0" w:noVBand="1"/>
      </w:tblPr>
      <w:tblGrid>
        <w:gridCol w:w="2376"/>
        <w:gridCol w:w="1319"/>
        <w:gridCol w:w="936"/>
        <w:gridCol w:w="1304"/>
        <w:gridCol w:w="936"/>
        <w:gridCol w:w="1306"/>
        <w:gridCol w:w="936"/>
      </w:tblGrid>
      <w:tr w:rsidR="008768CC" w:rsidTr="00293A0E">
        <w:trPr>
          <w:trHeight w:val="340"/>
          <w:jc w:val="center"/>
        </w:trPr>
        <w:tc>
          <w:tcPr>
            <w:tcW w:w="939" w:type="pct"/>
            <w:vMerge w:val="restart"/>
            <w:tcBorders>
              <w:top w:val="single" w:sz="4" w:space="0" w:color="auto"/>
              <w:left w:val="single" w:sz="4" w:space="0" w:color="auto"/>
              <w:bottom w:val="single" w:sz="4" w:space="0" w:color="000000"/>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hint="eastAsia"/>
                <w:b/>
                <w:sz w:val="24"/>
                <w:szCs w:val="24"/>
              </w:rPr>
              <w:t>项目</w:t>
            </w:r>
          </w:p>
        </w:tc>
        <w:tc>
          <w:tcPr>
            <w:tcW w:w="1356" w:type="pct"/>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3年</w:t>
            </w:r>
          </w:p>
        </w:tc>
        <w:tc>
          <w:tcPr>
            <w:tcW w:w="1361" w:type="pct"/>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2年</w:t>
            </w:r>
          </w:p>
        </w:tc>
        <w:tc>
          <w:tcPr>
            <w:tcW w:w="1343" w:type="pct"/>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w:t>
            </w:r>
            <w:r>
              <w:rPr>
                <w:rFonts w:asciiTheme="minorEastAsia" w:eastAsiaTheme="minorEastAsia" w:hAnsiTheme="minorEastAsia" w:cs="宋体" w:hint="eastAsia"/>
                <w:b/>
                <w:kern w:val="0"/>
                <w:sz w:val="24"/>
                <w:szCs w:val="24"/>
              </w:rPr>
              <w:t>21年</w:t>
            </w:r>
          </w:p>
        </w:tc>
      </w:tr>
      <w:tr w:rsidR="008768CC" w:rsidTr="00293A0E">
        <w:trPr>
          <w:trHeight w:val="340"/>
          <w:jc w:val="center"/>
        </w:trPr>
        <w:tc>
          <w:tcPr>
            <w:tcW w:w="939" w:type="pct"/>
            <w:vMerge/>
            <w:tcBorders>
              <w:top w:val="single" w:sz="4" w:space="0" w:color="auto"/>
              <w:left w:val="single" w:sz="4" w:space="0" w:color="auto"/>
              <w:bottom w:val="single" w:sz="4" w:space="0" w:color="000000"/>
              <w:right w:val="single" w:sz="4" w:space="0" w:color="auto"/>
            </w:tcBorders>
            <w:vAlign w:val="center"/>
          </w:tcPr>
          <w:p w:rsidR="008768CC" w:rsidRDefault="008768CC" w:rsidP="00293A0E">
            <w:pPr>
              <w:spacing w:line="480" w:lineRule="exact"/>
              <w:ind w:firstLineChars="0" w:firstLine="0"/>
              <w:jc w:val="left"/>
              <w:rPr>
                <w:rFonts w:asciiTheme="minorEastAsia" w:eastAsiaTheme="minorEastAsia" w:hAnsiTheme="minorEastAsia" w:cs="宋体"/>
                <w:b/>
                <w:kern w:val="0"/>
                <w:sz w:val="24"/>
                <w:szCs w:val="24"/>
              </w:rPr>
            </w:pPr>
          </w:p>
        </w:tc>
        <w:tc>
          <w:tcPr>
            <w:tcW w:w="795"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560"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c>
          <w:tcPr>
            <w:tcW w:w="800"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561"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c>
          <w:tcPr>
            <w:tcW w:w="800"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543"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r>
      <w:tr w:rsidR="008768CC" w:rsidTr="00293A0E">
        <w:trPr>
          <w:trHeight w:val="340"/>
          <w:jc w:val="center"/>
        </w:trPr>
        <w:tc>
          <w:tcPr>
            <w:tcW w:w="939" w:type="pct"/>
            <w:tcBorders>
              <w:top w:val="nil"/>
              <w:left w:val="single" w:sz="4" w:space="0" w:color="auto"/>
              <w:bottom w:val="single" w:sz="4" w:space="0" w:color="auto"/>
              <w:right w:val="single" w:sz="4" w:space="0" w:color="auto"/>
            </w:tcBorders>
            <w:noWrap/>
            <w:vAlign w:val="bottom"/>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利息净收入</w:t>
            </w:r>
          </w:p>
        </w:tc>
        <w:tc>
          <w:tcPr>
            <w:tcW w:w="795"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58,608.88</w:t>
            </w:r>
          </w:p>
        </w:tc>
        <w:tc>
          <w:tcPr>
            <w:tcW w:w="560"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95.01</w:t>
            </w:r>
            <w:r>
              <w:rPr>
                <w:rFonts w:asciiTheme="minorEastAsia" w:eastAsiaTheme="minorEastAsia" w:hAnsiTheme="minorEastAsia"/>
                <w:sz w:val="24"/>
                <w:szCs w:val="24"/>
              </w:rPr>
              <w:t>%</w:t>
            </w:r>
          </w:p>
        </w:tc>
        <w:tc>
          <w:tcPr>
            <w:tcW w:w="800"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57,745.39</w:t>
            </w:r>
          </w:p>
        </w:tc>
        <w:tc>
          <w:tcPr>
            <w:tcW w:w="561"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95.31%</w:t>
            </w:r>
          </w:p>
        </w:tc>
        <w:tc>
          <w:tcPr>
            <w:tcW w:w="800"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55,931.56</w:t>
            </w:r>
          </w:p>
        </w:tc>
        <w:tc>
          <w:tcPr>
            <w:tcW w:w="543"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92.12%</w:t>
            </w:r>
          </w:p>
        </w:tc>
      </w:tr>
      <w:tr w:rsidR="008768CC" w:rsidTr="00293A0E">
        <w:trPr>
          <w:trHeight w:val="340"/>
          <w:jc w:val="center"/>
        </w:trPr>
        <w:tc>
          <w:tcPr>
            <w:tcW w:w="939" w:type="pct"/>
            <w:tcBorders>
              <w:top w:val="nil"/>
              <w:left w:val="single" w:sz="4" w:space="0" w:color="auto"/>
              <w:bottom w:val="single" w:sz="4" w:space="0" w:color="auto"/>
              <w:right w:val="single" w:sz="4" w:space="0" w:color="auto"/>
            </w:tcBorders>
            <w:noWrap/>
            <w:vAlign w:val="bottom"/>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手续费及佣金净收入</w:t>
            </w:r>
          </w:p>
        </w:tc>
        <w:tc>
          <w:tcPr>
            <w:tcW w:w="795"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127.99</w:t>
            </w:r>
          </w:p>
        </w:tc>
        <w:tc>
          <w:tcPr>
            <w:tcW w:w="560"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0.21</w:t>
            </w:r>
            <w:r>
              <w:rPr>
                <w:rFonts w:asciiTheme="minorEastAsia" w:eastAsiaTheme="minorEastAsia" w:hAnsiTheme="minorEastAsia"/>
                <w:sz w:val="24"/>
                <w:szCs w:val="24"/>
              </w:rPr>
              <w:t>%</w:t>
            </w:r>
          </w:p>
        </w:tc>
        <w:tc>
          <w:tcPr>
            <w:tcW w:w="800"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181.54</w:t>
            </w:r>
          </w:p>
        </w:tc>
        <w:tc>
          <w:tcPr>
            <w:tcW w:w="561"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0.30%</w:t>
            </w:r>
          </w:p>
        </w:tc>
        <w:tc>
          <w:tcPr>
            <w:tcW w:w="800"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422.18</w:t>
            </w:r>
          </w:p>
        </w:tc>
        <w:tc>
          <w:tcPr>
            <w:tcW w:w="543"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0.70%</w:t>
            </w:r>
          </w:p>
        </w:tc>
      </w:tr>
      <w:tr w:rsidR="008768CC" w:rsidTr="00293A0E">
        <w:trPr>
          <w:trHeight w:val="340"/>
          <w:jc w:val="center"/>
        </w:trPr>
        <w:tc>
          <w:tcPr>
            <w:tcW w:w="939" w:type="pct"/>
            <w:tcBorders>
              <w:top w:val="nil"/>
              <w:left w:val="single" w:sz="4" w:space="0" w:color="auto"/>
              <w:bottom w:val="single" w:sz="4" w:space="0" w:color="auto"/>
              <w:right w:val="single" w:sz="4" w:space="0" w:color="auto"/>
            </w:tcBorders>
            <w:noWrap/>
            <w:vAlign w:val="bottom"/>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投资收益</w:t>
            </w:r>
          </w:p>
        </w:tc>
        <w:tc>
          <w:tcPr>
            <w:tcW w:w="795"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2,171.03   </w:t>
            </w:r>
          </w:p>
        </w:tc>
        <w:tc>
          <w:tcPr>
            <w:tcW w:w="560"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3.52</w:t>
            </w:r>
            <w:r>
              <w:rPr>
                <w:rFonts w:asciiTheme="minorEastAsia" w:eastAsiaTheme="minorEastAsia" w:hAnsiTheme="minorEastAsia"/>
                <w:sz w:val="24"/>
                <w:szCs w:val="24"/>
              </w:rPr>
              <w:t>%</w:t>
            </w:r>
          </w:p>
        </w:tc>
        <w:tc>
          <w:tcPr>
            <w:tcW w:w="800"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1,485.36  </w:t>
            </w:r>
          </w:p>
        </w:tc>
        <w:tc>
          <w:tcPr>
            <w:tcW w:w="561"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2.45%</w:t>
            </w:r>
          </w:p>
        </w:tc>
        <w:tc>
          <w:tcPr>
            <w:tcW w:w="800"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3,412.33 </w:t>
            </w:r>
          </w:p>
        </w:tc>
        <w:tc>
          <w:tcPr>
            <w:tcW w:w="543"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5.62%</w:t>
            </w:r>
          </w:p>
        </w:tc>
      </w:tr>
      <w:tr w:rsidR="008768CC" w:rsidTr="00293A0E">
        <w:trPr>
          <w:trHeight w:val="340"/>
          <w:jc w:val="center"/>
        </w:trPr>
        <w:tc>
          <w:tcPr>
            <w:tcW w:w="939" w:type="pct"/>
            <w:tcBorders>
              <w:top w:val="nil"/>
              <w:left w:val="single" w:sz="4" w:space="0" w:color="auto"/>
              <w:bottom w:val="single" w:sz="4" w:space="0" w:color="auto"/>
              <w:right w:val="single" w:sz="4" w:space="0" w:color="auto"/>
            </w:tcBorders>
            <w:noWrap/>
            <w:vAlign w:val="bottom"/>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其他业务收入</w:t>
            </w:r>
          </w:p>
        </w:tc>
        <w:tc>
          <w:tcPr>
            <w:tcW w:w="795"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146.86</w:t>
            </w:r>
            <w:r>
              <w:rPr>
                <w:rFonts w:asciiTheme="minorEastAsia" w:eastAsiaTheme="minorEastAsia" w:hAnsiTheme="minorEastAsia"/>
                <w:sz w:val="24"/>
                <w:szCs w:val="24"/>
              </w:rPr>
              <w:t xml:space="preserve">  </w:t>
            </w:r>
          </w:p>
        </w:tc>
        <w:tc>
          <w:tcPr>
            <w:tcW w:w="560"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w:t>
            </w:r>
            <w:r>
              <w:rPr>
                <w:rFonts w:asciiTheme="minorEastAsia" w:eastAsiaTheme="minorEastAsia" w:hAnsiTheme="minorEastAsia" w:hint="eastAsia"/>
                <w:sz w:val="24"/>
                <w:szCs w:val="24"/>
              </w:rPr>
              <w:t>24</w:t>
            </w:r>
            <w:r>
              <w:rPr>
                <w:rFonts w:asciiTheme="minorEastAsia" w:eastAsiaTheme="minorEastAsia" w:hAnsiTheme="minorEastAsia"/>
                <w:sz w:val="24"/>
                <w:szCs w:val="24"/>
              </w:rPr>
              <w:t>%</w:t>
            </w:r>
          </w:p>
        </w:tc>
        <w:tc>
          <w:tcPr>
            <w:tcW w:w="800"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87.91  </w:t>
            </w:r>
          </w:p>
        </w:tc>
        <w:tc>
          <w:tcPr>
            <w:tcW w:w="561"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0.15%</w:t>
            </w:r>
          </w:p>
        </w:tc>
        <w:tc>
          <w:tcPr>
            <w:tcW w:w="800"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85.84 </w:t>
            </w:r>
          </w:p>
        </w:tc>
        <w:tc>
          <w:tcPr>
            <w:tcW w:w="543"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0.14%</w:t>
            </w:r>
          </w:p>
        </w:tc>
      </w:tr>
      <w:tr w:rsidR="008768CC" w:rsidTr="00293A0E">
        <w:trPr>
          <w:trHeight w:val="340"/>
          <w:jc w:val="center"/>
        </w:trPr>
        <w:tc>
          <w:tcPr>
            <w:tcW w:w="939" w:type="pct"/>
            <w:tcBorders>
              <w:top w:val="nil"/>
              <w:left w:val="single" w:sz="4" w:space="0" w:color="auto"/>
              <w:bottom w:val="single" w:sz="4" w:space="0" w:color="auto"/>
              <w:right w:val="single" w:sz="4" w:space="0" w:color="auto"/>
            </w:tcBorders>
            <w:noWrap/>
            <w:vAlign w:val="bottom"/>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资产处置损益</w:t>
            </w:r>
          </w:p>
        </w:tc>
        <w:tc>
          <w:tcPr>
            <w:tcW w:w="795"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167.42</w:t>
            </w:r>
          </w:p>
        </w:tc>
        <w:tc>
          <w:tcPr>
            <w:tcW w:w="560"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0.27</w:t>
            </w:r>
            <w:r>
              <w:rPr>
                <w:rFonts w:asciiTheme="minorEastAsia" w:eastAsiaTheme="minorEastAsia" w:hAnsiTheme="minorEastAsia"/>
                <w:sz w:val="24"/>
                <w:szCs w:val="24"/>
              </w:rPr>
              <w:t>%</w:t>
            </w:r>
          </w:p>
        </w:tc>
        <w:tc>
          <w:tcPr>
            <w:tcW w:w="800"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56.52</w:t>
            </w:r>
          </w:p>
        </w:tc>
        <w:tc>
          <w:tcPr>
            <w:tcW w:w="561"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0.09%</w:t>
            </w:r>
          </w:p>
        </w:tc>
        <w:tc>
          <w:tcPr>
            <w:tcW w:w="800"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707.00</w:t>
            </w:r>
          </w:p>
        </w:tc>
        <w:tc>
          <w:tcPr>
            <w:tcW w:w="543"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1.16%</w:t>
            </w:r>
          </w:p>
        </w:tc>
      </w:tr>
      <w:tr w:rsidR="008768CC" w:rsidTr="00293A0E">
        <w:trPr>
          <w:trHeight w:val="340"/>
          <w:jc w:val="center"/>
        </w:trPr>
        <w:tc>
          <w:tcPr>
            <w:tcW w:w="939" w:type="pct"/>
            <w:tcBorders>
              <w:top w:val="nil"/>
              <w:left w:val="single" w:sz="4" w:space="0" w:color="auto"/>
              <w:bottom w:val="single" w:sz="4" w:space="0" w:color="auto"/>
              <w:right w:val="single" w:sz="4" w:space="0" w:color="auto"/>
            </w:tcBorders>
            <w:noWrap/>
            <w:vAlign w:val="bottom"/>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其他收益</w:t>
            </w:r>
          </w:p>
        </w:tc>
        <w:tc>
          <w:tcPr>
            <w:tcW w:w="795"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467.05</w:t>
            </w:r>
          </w:p>
        </w:tc>
        <w:tc>
          <w:tcPr>
            <w:tcW w:w="560"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0.76</w:t>
            </w:r>
            <w:r>
              <w:rPr>
                <w:rFonts w:asciiTheme="minorEastAsia" w:eastAsiaTheme="minorEastAsia" w:hAnsiTheme="minorEastAsia"/>
                <w:sz w:val="24"/>
                <w:szCs w:val="24"/>
              </w:rPr>
              <w:t>%</w:t>
            </w:r>
          </w:p>
        </w:tc>
        <w:tc>
          <w:tcPr>
            <w:tcW w:w="800"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1,029.93</w:t>
            </w:r>
          </w:p>
        </w:tc>
        <w:tc>
          <w:tcPr>
            <w:tcW w:w="561"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1.70%</w:t>
            </w:r>
          </w:p>
        </w:tc>
        <w:tc>
          <w:tcPr>
            <w:tcW w:w="800"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160.32</w:t>
            </w:r>
          </w:p>
        </w:tc>
        <w:tc>
          <w:tcPr>
            <w:tcW w:w="543"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0.26%</w:t>
            </w:r>
          </w:p>
        </w:tc>
      </w:tr>
      <w:tr w:rsidR="008768CC" w:rsidTr="00293A0E">
        <w:trPr>
          <w:trHeight w:val="340"/>
          <w:jc w:val="center"/>
        </w:trPr>
        <w:tc>
          <w:tcPr>
            <w:tcW w:w="939" w:type="pct"/>
            <w:tcBorders>
              <w:top w:val="nil"/>
              <w:left w:val="single" w:sz="4" w:space="0" w:color="auto"/>
              <w:bottom w:val="single" w:sz="4" w:space="0" w:color="auto"/>
              <w:right w:val="single" w:sz="4" w:space="0" w:color="auto"/>
            </w:tcBorders>
            <w:noWrap/>
            <w:vAlign w:val="bottom"/>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营业收入</w:t>
            </w:r>
          </w:p>
        </w:tc>
        <w:tc>
          <w:tcPr>
            <w:tcW w:w="795"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61,689.23</w:t>
            </w:r>
          </w:p>
        </w:tc>
        <w:tc>
          <w:tcPr>
            <w:tcW w:w="560"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w:t>
            </w:r>
          </w:p>
        </w:tc>
        <w:tc>
          <w:tcPr>
            <w:tcW w:w="800"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60,586.65</w:t>
            </w:r>
          </w:p>
        </w:tc>
        <w:tc>
          <w:tcPr>
            <w:tcW w:w="561"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w:t>
            </w:r>
          </w:p>
        </w:tc>
        <w:tc>
          <w:tcPr>
            <w:tcW w:w="800"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60,719.22</w:t>
            </w:r>
          </w:p>
        </w:tc>
        <w:tc>
          <w:tcPr>
            <w:tcW w:w="543"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5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lastRenderedPageBreak/>
        <w:t>1.</w:t>
      </w:r>
      <w:r>
        <w:rPr>
          <w:rFonts w:asciiTheme="minorEastAsia" w:eastAsiaTheme="minorEastAsia" w:hAnsiTheme="minorEastAsia" w:cs="宋体" w:hint="eastAsia"/>
          <w:b/>
          <w:kern w:val="0"/>
          <w:sz w:val="24"/>
          <w:szCs w:val="24"/>
        </w:rPr>
        <w:t>利息净收入</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56"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报告期内，本行实现利息净收入5.86亿元，同比增加0.09亿元，增幅1.5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5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单位：人民币万元</w:t>
      </w:r>
    </w:p>
    <w:tbl>
      <w:tblPr>
        <w:tblW w:w="4999" w:type="pct"/>
        <w:jc w:val="center"/>
        <w:tblLook w:val="04A0" w:firstRow="1" w:lastRow="0" w:firstColumn="1" w:lastColumn="0" w:noHBand="0" w:noVBand="1"/>
      </w:tblPr>
      <w:tblGrid>
        <w:gridCol w:w="1479"/>
        <w:gridCol w:w="1467"/>
        <w:gridCol w:w="1093"/>
        <w:gridCol w:w="1587"/>
        <w:gridCol w:w="1010"/>
        <w:gridCol w:w="1540"/>
        <w:gridCol w:w="939"/>
      </w:tblGrid>
      <w:tr w:rsidR="008768CC" w:rsidTr="00293A0E">
        <w:trPr>
          <w:trHeight w:val="397"/>
          <w:jc w:val="center"/>
        </w:trPr>
        <w:tc>
          <w:tcPr>
            <w:tcW w:w="811" w:type="pct"/>
            <w:vMerge w:val="restart"/>
            <w:tcBorders>
              <w:top w:val="single" w:sz="4" w:space="0" w:color="auto"/>
              <w:left w:val="single" w:sz="4" w:space="0" w:color="auto"/>
              <w:bottom w:val="single" w:sz="4" w:space="0" w:color="000000"/>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项目</w:t>
            </w:r>
          </w:p>
        </w:tc>
        <w:tc>
          <w:tcPr>
            <w:tcW w:w="1403" w:type="pct"/>
            <w:gridSpan w:val="2"/>
            <w:tcBorders>
              <w:top w:val="single" w:sz="4" w:space="0" w:color="auto"/>
              <w:left w:val="nil"/>
              <w:bottom w:val="single" w:sz="4" w:space="0" w:color="auto"/>
              <w:right w:val="single" w:sz="4" w:space="0" w:color="000000"/>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3年</w:t>
            </w:r>
          </w:p>
        </w:tc>
        <w:tc>
          <w:tcPr>
            <w:tcW w:w="1424" w:type="pct"/>
            <w:gridSpan w:val="2"/>
            <w:tcBorders>
              <w:top w:val="single" w:sz="4" w:space="0" w:color="auto"/>
              <w:left w:val="nil"/>
              <w:bottom w:val="single" w:sz="4" w:space="0" w:color="auto"/>
              <w:right w:val="single" w:sz="4" w:space="0" w:color="000000"/>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2年</w:t>
            </w:r>
          </w:p>
        </w:tc>
        <w:tc>
          <w:tcPr>
            <w:tcW w:w="1360" w:type="pct"/>
            <w:gridSpan w:val="2"/>
            <w:tcBorders>
              <w:top w:val="single" w:sz="4" w:space="0" w:color="auto"/>
              <w:left w:val="nil"/>
              <w:bottom w:val="single" w:sz="4" w:space="0" w:color="auto"/>
              <w:right w:val="single" w:sz="4" w:space="0" w:color="000000"/>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w:t>
            </w:r>
            <w:r>
              <w:rPr>
                <w:rFonts w:asciiTheme="minorEastAsia" w:eastAsiaTheme="minorEastAsia" w:hAnsiTheme="minorEastAsia" w:cs="宋体" w:hint="eastAsia"/>
                <w:b/>
                <w:kern w:val="0"/>
                <w:sz w:val="24"/>
                <w:szCs w:val="24"/>
              </w:rPr>
              <w:t>21年</w:t>
            </w:r>
          </w:p>
        </w:tc>
      </w:tr>
      <w:tr w:rsidR="008768CC" w:rsidTr="00293A0E">
        <w:trPr>
          <w:trHeight w:val="397"/>
          <w:jc w:val="center"/>
        </w:trPr>
        <w:tc>
          <w:tcPr>
            <w:tcW w:w="811" w:type="pct"/>
            <w:vMerge/>
            <w:tcBorders>
              <w:top w:val="single" w:sz="4" w:space="0" w:color="auto"/>
              <w:left w:val="single" w:sz="4" w:space="0" w:color="auto"/>
              <w:bottom w:val="single" w:sz="4" w:space="0" w:color="000000"/>
              <w:right w:val="single" w:sz="4" w:space="0" w:color="auto"/>
            </w:tcBorders>
            <w:vAlign w:val="center"/>
          </w:tcPr>
          <w:p w:rsidR="008768CC" w:rsidRDefault="008768CC" w:rsidP="00293A0E">
            <w:pPr>
              <w:spacing w:line="500" w:lineRule="exact"/>
              <w:ind w:firstLineChars="0" w:firstLine="0"/>
              <w:jc w:val="left"/>
              <w:rPr>
                <w:rFonts w:asciiTheme="minorEastAsia" w:eastAsiaTheme="minorEastAsia" w:hAnsiTheme="minorEastAsia" w:cs="宋体"/>
                <w:b/>
                <w:kern w:val="0"/>
                <w:sz w:val="24"/>
                <w:szCs w:val="24"/>
              </w:rPr>
            </w:pPr>
          </w:p>
        </w:tc>
        <w:tc>
          <w:tcPr>
            <w:tcW w:w="804" w:type="pct"/>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599" w:type="pct"/>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同比</w:t>
            </w:r>
          </w:p>
        </w:tc>
        <w:tc>
          <w:tcPr>
            <w:tcW w:w="870" w:type="pct"/>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553" w:type="pct"/>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同比</w:t>
            </w:r>
          </w:p>
        </w:tc>
        <w:tc>
          <w:tcPr>
            <w:tcW w:w="845" w:type="pct"/>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515" w:type="pct"/>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同比</w:t>
            </w:r>
          </w:p>
        </w:tc>
      </w:tr>
      <w:tr w:rsidR="008768CC" w:rsidTr="00293A0E">
        <w:trPr>
          <w:trHeight w:val="397"/>
          <w:jc w:val="center"/>
        </w:trPr>
        <w:tc>
          <w:tcPr>
            <w:tcW w:w="811" w:type="pct"/>
            <w:tcBorders>
              <w:top w:val="nil"/>
              <w:left w:val="single" w:sz="4" w:space="0" w:color="auto"/>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利息收入</w:t>
            </w:r>
          </w:p>
        </w:tc>
        <w:tc>
          <w:tcPr>
            <w:tcW w:w="804" w:type="pct"/>
            <w:tcBorders>
              <w:top w:val="nil"/>
              <w:left w:val="nil"/>
              <w:bottom w:val="single" w:sz="4" w:space="0" w:color="000000"/>
              <w:right w:val="single" w:sz="4" w:space="0" w:color="000000"/>
            </w:tcBorders>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 97,526.06 </w:t>
            </w:r>
          </w:p>
        </w:tc>
        <w:tc>
          <w:tcPr>
            <w:tcW w:w="599" w:type="pct"/>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-2.9</w:t>
            </w:r>
            <w:r>
              <w:rPr>
                <w:rFonts w:asciiTheme="minorEastAsia" w:eastAsiaTheme="minorEastAsia" w:hAnsiTheme="minorEastAsia"/>
                <w:sz w:val="24"/>
                <w:szCs w:val="24"/>
              </w:rPr>
              <w:t>%</w:t>
            </w:r>
          </w:p>
        </w:tc>
        <w:tc>
          <w:tcPr>
            <w:tcW w:w="870" w:type="pct"/>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100,441.28  </w:t>
            </w:r>
          </w:p>
        </w:tc>
        <w:tc>
          <w:tcPr>
            <w:tcW w:w="553" w:type="pct"/>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4.13%</w:t>
            </w:r>
          </w:p>
        </w:tc>
        <w:tc>
          <w:tcPr>
            <w:tcW w:w="845" w:type="pct"/>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96,458.44</w:t>
            </w:r>
          </w:p>
        </w:tc>
        <w:tc>
          <w:tcPr>
            <w:tcW w:w="515" w:type="pct"/>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2.05%</w:t>
            </w:r>
          </w:p>
        </w:tc>
      </w:tr>
      <w:tr w:rsidR="008768CC" w:rsidTr="00293A0E">
        <w:trPr>
          <w:trHeight w:val="397"/>
          <w:jc w:val="center"/>
        </w:trPr>
        <w:tc>
          <w:tcPr>
            <w:tcW w:w="811" w:type="pct"/>
            <w:tcBorders>
              <w:top w:val="nil"/>
              <w:left w:val="single" w:sz="4" w:space="0" w:color="auto"/>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利息支出</w:t>
            </w:r>
          </w:p>
        </w:tc>
        <w:tc>
          <w:tcPr>
            <w:tcW w:w="804" w:type="pct"/>
            <w:tcBorders>
              <w:top w:val="nil"/>
              <w:left w:val="nil"/>
              <w:bottom w:val="single" w:sz="4" w:space="0" w:color="000000"/>
              <w:right w:val="single" w:sz="4" w:space="0" w:color="000000"/>
            </w:tcBorders>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 38,917.18 </w:t>
            </w:r>
          </w:p>
        </w:tc>
        <w:tc>
          <w:tcPr>
            <w:tcW w:w="599" w:type="pct"/>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-8.85</w:t>
            </w:r>
            <w:r>
              <w:rPr>
                <w:rFonts w:asciiTheme="minorEastAsia" w:eastAsiaTheme="minorEastAsia" w:hAnsiTheme="minorEastAsia"/>
                <w:sz w:val="24"/>
                <w:szCs w:val="24"/>
              </w:rPr>
              <w:t>%</w:t>
            </w:r>
          </w:p>
        </w:tc>
        <w:tc>
          <w:tcPr>
            <w:tcW w:w="870" w:type="pct"/>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42,695.89</w:t>
            </w:r>
          </w:p>
        </w:tc>
        <w:tc>
          <w:tcPr>
            <w:tcW w:w="553" w:type="pct"/>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5.35%</w:t>
            </w:r>
          </w:p>
        </w:tc>
        <w:tc>
          <w:tcPr>
            <w:tcW w:w="845" w:type="pct"/>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40,526.88</w:t>
            </w:r>
          </w:p>
        </w:tc>
        <w:tc>
          <w:tcPr>
            <w:tcW w:w="515" w:type="pct"/>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3.43%</w:t>
            </w:r>
          </w:p>
        </w:tc>
      </w:tr>
      <w:tr w:rsidR="008768CC" w:rsidTr="00293A0E">
        <w:trPr>
          <w:trHeight w:val="397"/>
          <w:jc w:val="center"/>
        </w:trPr>
        <w:tc>
          <w:tcPr>
            <w:tcW w:w="811" w:type="pct"/>
            <w:tcBorders>
              <w:top w:val="nil"/>
              <w:left w:val="single" w:sz="4" w:space="0" w:color="auto"/>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利息净收入</w:t>
            </w:r>
          </w:p>
        </w:tc>
        <w:tc>
          <w:tcPr>
            <w:tcW w:w="804" w:type="pct"/>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58,608.88    </w:t>
            </w:r>
          </w:p>
        </w:tc>
        <w:tc>
          <w:tcPr>
            <w:tcW w:w="599" w:type="pct"/>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1.5</w:t>
            </w:r>
            <w:r>
              <w:rPr>
                <w:rFonts w:asciiTheme="minorEastAsia" w:eastAsiaTheme="minorEastAsia" w:hAnsiTheme="minorEastAsia"/>
                <w:sz w:val="24"/>
                <w:szCs w:val="24"/>
              </w:rPr>
              <w:t>%</w:t>
            </w:r>
          </w:p>
        </w:tc>
        <w:tc>
          <w:tcPr>
            <w:tcW w:w="870" w:type="pct"/>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57,745.39   </w:t>
            </w:r>
          </w:p>
        </w:tc>
        <w:tc>
          <w:tcPr>
            <w:tcW w:w="553" w:type="pct"/>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3.24%</w:t>
            </w:r>
          </w:p>
        </w:tc>
        <w:tc>
          <w:tcPr>
            <w:tcW w:w="845" w:type="pct"/>
            <w:tcBorders>
              <w:top w:val="nil"/>
              <w:left w:val="nil"/>
              <w:bottom w:val="single" w:sz="4" w:space="0" w:color="000000"/>
              <w:right w:val="single" w:sz="4" w:space="0" w:color="000000"/>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55,931.56</w:t>
            </w:r>
          </w:p>
        </w:tc>
        <w:tc>
          <w:tcPr>
            <w:tcW w:w="515" w:type="pct"/>
            <w:tcBorders>
              <w:top w:val="nil"/>
              <w:left w:val="nil"/>
              <w:bottom w:val="single" w:sz="4" w:space="0" w:color="auto"/>
              <w:right w:val="single" w:sz="4"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1.07%</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）利息收入</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报告期内，本行实现利息收入9.75亿元，同比减少0.29亿元，降幅2.9</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。主要是</w:t>
      </w:r>
      <w:r>
        <w:rPr>
          <w:rFonts w:asciiTheme="minorEastAsia" w:eastAsiaTheme="minorEastAsia" w:hAnsiTheme="minorEastAsia" w:cs="宋体"/>
          <w:kern w:val="0"/>
          <w:sz w:val="24"/>
          <w:szCs w:val="24"/>
        </w:rPr>
        <w:t>202</w:t>
      </w:r>
      <w:r>
        <w:rPr>
          <w:rFonts w:asciiTheme="minorEastAsia" w:eastAsiaTheme="minorEastAsia" w:hAnsiTheme="minorEastAsia" w:cs="宋体" w:hint="eastAsia"/>
          <w:kern w:val="0"/>
          <w:sz w:val="24"/>
          <w:szCs w:val="24"/>
        </w:rPr>
        <w:t>3年度受利率市场化影响，本行贷款利率多次下调，利息收入同比下降。</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）利息支出</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报告期内，本行利息支出3.89亿元，同比减少0.38亿元，降幅8.85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。主要是2023年度本行持续优化存款结构，同时跟随市场多次下调存款利率，相应存款利息支出有所减少。</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w:t>
      </w:r>
      <w:r>
        <w:rPr>
          <w:rFonts w:asciiTheme="minorEastAsia" w:eastAsiaTheme="minorEastAsia" w:hAnsiTheme="minorEastAsia" w:cs="宋体" w:hint="eastAsia"/>
          <w:b/>
          <w:kern w:val="0"/>
          <w:sz w:val="24"/>
          <w:szCs w:val="24"/>
        </w:rPr>
        <w:t>手续费及佣金净收入</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报告期内，本行实现手续费及佣金净收入</w:t>
      </w:r>
      <w:r>
        <w:rPr>
          <w:rFonts w:asciiTheme="minorEastAsia" w:eastAsiaTheme="minorEastAsia" w:hAnsiTheme="minorEastAsia" w:cs="宋体"/>
          <w:kern w:val="0"/>
          <w:sz w:val="24"/>
          <w:szCs w:val="24"/>
        </w:rPr>
        <w:t>0.0</w:t>
      </w:r>
      <w:r>
        <w:rPr>
          <w:rFonts w:asciiTheme="minorEastAsia" w:eastAsiaTheme="minorEastAsia" w:hAnsiTheme="minorEastAsia" w:cs="宋体" w:hint="eastAsia"/>
          <w:kern w:val="0"/>
          <w:sz w:val="24"/>
          <w:szCs w:val="24"/>
        </w:rPr>
        <w:t>1亿元，同比减少</w:t>
      </w:r>
      <w:r>
        <w:rPr>
          <w:rFonts w:asciiTheme="minorEastAsia" w:eastAsiaTheme="minorEastAsia" w:hAnsiTheme="minorEastAsia" w:cs="宋体"/>
          <w:kern w:val="0"/>
          <w:sz w:val="24"/>
          <w:szCs w:val="24"/>
        </w:rPr>
        <w:t>0.0</w:t>
      </w:r>
      <w:r>
        <w:rPr>
          <w:rFonts w:asciiTheme="minorEastAsia" w:eastAsiaTheme="minorEastAsia" w:hAnsiTheme="minorEastAsia" w:cs="宋体" w:hint="eastAsia"/>
          <w:kern w:val="0"/>
          <w:sz w:val="24"/>
          <w:szCs w:val="24"/>
        </w:rPr>
        <w:t>1亿元。主要是2023年本行持续实施减费让利相关措施，手续费及佣金净收入同比有所下降。</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3.</w:t>
      </w:r>
      <w:r>
        <w:rPr>
          <w:rFonts w:asciiTheme="minorEastAsia" w:eastAsiaTheme="minorEastAsia" w:hAnsiTheme="minorEastAsia" w:cs="宋体" w:hint="eastAsia"/>
          <w:b/>
          <w:kern w:val="0"/>
          <w:sz w:val="24"/>
          <w:szCs w:val="24"/>
        </w:rPr>
        <w:t>投资收益</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报告期内，本行实现投资收益0.22亿元，同比增加</w:t>
      </w:r>
      <w:r>
        <w:rPr>
          <w:rFonts w:asciiTheme="minorEastAsia" w:eastAsiaTheme="minorEastAsia" w:hAnsiTheme="minorEastAsia" w:cs="宋体"/>
          <w:kern w:val="0"/>
          <w:sz w:val="24"/>
          <w:szCs w:val="24"/>
        </w:rPr>
        <w:t>0.0</w:t>
      </w:r>
      <w:r>
        <w:rPr>
          <w:rFonts w:asciiTheme="minorEastAsia" w:eastAsiaTheme="minorEastAsia" w:hAnsiTheme="minorEastAsia" w:cs="宋体" w:hint="eastAsia"/>
          <w:kern w:val="0"/>
          <w:sz w:val="24"/>
          <w:szCs w:val="24"/>
        </w:rPr>
        <w:t>7亿元。主要是本行通过优化债券配置结构实现长期可持续发展的前提下，根据市场波动情况实现部分利润。</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8.2.1.2</w:t>
      </w:r>
      <w:r>
        <w:rPr>
          <w:rFonts w:asciiTheme="minorEastAsia" w:eastAsiaTheme="minorEastAsia" w:hAnsiTheme="minorEastAsia" w:cs="宋体" w:hint="eastAsia"/>
          <w:b/>
          <w:kern w:val="0"/>
          <w:sz w:val="24"/>
          <w:szCs w:val="24"/>
        </w:rPr>
        <w:t>营业支出</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报告期内，本行营业支出4.03亿元，主要包括业务及管理费用、信用减值损失等，占总营业支出的比重分别为67.07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、32.2</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单位：人民币万元</w:t>
      </w:r>
    </w:p>
    <w:tbl>
      <w:tblPr>
        <w:tblW w:w="4999" w:type="pct"/>
        <w:jc w:val="center"/>
        <w:tblLook w:val="04A0" w:firstRow="1" w:lastRow="0" w:firstColumn="1" w:lastColumn="0" w:noHBand="0" w:noVBand="1"/>
      </w:tblPr>
      <w:tblGrid>
        <w:gridCol w:w="1712"/>
        <w:gridCol w:w="1296"/>
        <w:gridCol w:w="1163"/>
        <w:gridCol w:w="1358"/>
        <w:gridCol w:w="1059"/>
        <w:gridCol w:w="1360"/>
        <w:gridCol w:w="1167"/>
      </w:tblGrid>
      <w:tr w:rsidR="008768CC" w:rsidTr="00293A0E">
        <w:trPr>
          <w:trHeight w:val="397"/>
          <w:jc w:val="center"/>
        </w:trPr>
        <w:tc>
          <w:tcPr>
            <w:tcW w:w="939" w:type="pct"/>
            <w:vMerge w:val="restart"/>
            <w:tcBorders>
              <w:top w:val="single" w:sz="4" w:space="0" w:color="auto"/>
              <w:left w:val="single" w:sz="4" w:space="0" w:color="auto"/>
              <w:bottom w:val="single" w:sz="4" w:space="0" w:color="000000"/>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项目</w:t>
            </w:r>
          </w:p>
        </w:tc>
        <w:tc>
          <w:tcPr>
            <w:tcW w:w="1348" w:type="pct"/>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3年</w:t>
            </w:r>
          </w:p>
        </w:tc>
        <w:tc>
          <w:tcPr>
            <w:tcW w:w="1326" w:type="pct"/>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2年</w:t>
            </w:r>
          </w:p>
        </w:tc>
        <w:tc>
          <w:tcPr>
            <w:tcW w:w="1386" w:type="pct"/>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w:t>
            </w:r>
            <w:r>
              <w:rPr>
                <w:rFonts w:asciiTheme="minorEastAsia" w:eastAsiaTheme="minorEastAsia" w:hAnsiTheme="minorEastAsia" w:cs="宋体" w:hint="eastAsia"/>
                <w:b/>
                <w:kern w:val="0"/>
                <w:sz w:val="24"/>
                <w:szCs w:val="24"/>
              </w:rPr>
              <w:t>21年</w:t>
            </w:r>
          </w:p>
        </w:tc>
      </w:tr>
      <w:tr w:rsidR="008768CC" w:rsidTr="00293A0E">
        <w:trPr>
          <w:trHeight w:val="340"/>
          <w:jc w:val="center"/>
        </w:trPr>
        <w:tc>
          <w:tcPr>
            <w:tcW w:w="939" w:type="pct"/>
            <w:vMerge/>
            <w:tcBorders>
              <w:top w:val="single" w:sz="4" w:space="0" w:color="auto"/>
              <w:left w:val="single" w:sz="4" w:space="0" w:color="auto"/>
              <w:bottom w:val="single" w:sz="4" w:space="0" w:color="000000"/>
              <w:right w:val="single" w:sz="4" w:space="0" w:color="auto"/>
            </w:tcBorders>
            <w:vAlign w:val="center"/>
          </w:tcPr>
          <w:p w:rsidR="008768CC" w:rsidRDefault="008768CC" w:rsidP="00293A0E">
            <w:pPr>
              <w:spacing w:line="480" w:lineRule="exact"/>
              <w:ind w:firstLineChars="0" w:firstLine="0"/>
              <w:jc w:val="left"/>
              <w:rPr>
                <w:rFonts w:asciiTheme="minorEastAsia" w:eastAsiaTheme="minorEastAsia" w:hAnsiTheme="minorEastAsia" w:cs="宋体"/>
                <w:b/>
                <w:kern w:val="0"/>
                <w:sz w:val="24"/>
                <w:szCs w:val="24"/>
              </w:rPr>
            </w:pPr>
          </w:p>
        </w:tc>
        <w:tc>
          <w:tcPr>
            <w:tcW w:w="710"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637"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c>
          <w:tcPr>
            <w:tcW w:w="745"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580"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c>
          <w:tcPr>
            <w:tcW w:w="746"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640"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r>
      <w:tr w:rsidR="008768CC" w:rsidTr="00293A0E">
        <w:trPr>
          <w:trHeight w:val="442"/>
          <w:jc w:val="center"/>
        </w:trPr>
        <w:tc>
          <w:tcPr>
            <w:tcW w:w="939" w:type="pct"/>
            <w:tcBorders>
              <w:top w:val="nil"/>
              <w:left w:val="single" w:sz="4" w:space="0" w:color="auto"/>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税金及附加</w:t>
            </w:r>
          </w:p>
        </w:tc>
        <w:tc>
          <w:tcPr>
            <w:tcW w:w="710" w:type="pct"/>
            <w:tcBorders>
              <w:top w:val="nil"/>
              <w:left w:val="nil"/>
              <w:bottom w:val="single" w:sz="4" w:space="0" w:color="000000"/>
              <w:right w:val="single" w:sz="4" w:space="0" w:color="000000"/>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276.76</w:t>
            </w:r>
          </w:p>
        </w:tc>
        <w:tc>
          <w:tcPr>
            <w:tcW w:w="637" w:type="pct"/>
            <w:tcBorders>
              <w:top w:val="nil"/>
              <w:left w:val="nil"/>
              <w:bottom w:val="single" w:sz="4" w:space="0" w:color="auto"/>
              <w:right w:val="single" w:sz="4" w:space="0" w:color="auto"/>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w:t>
            </w:r>
            <w:r>
              <w:rPr>
                <w:rFonts w:asciiTheme="minorEastAsia" w:eastAsiaTheme="minorEastAsia" w:hAnsiTheme="minorEastAsia" w:hint="eastAsia"/>
                <w:sz w:val="24"/>
                <w:szCs w:val="24"/>
              </w:rPr>
              <w:t>69</w:t>
            </w:r>
            <w:r>
              <w:rPr>
                <w:rFonts w:asciiTheme="minorEastAsia" w:eastAsiaTheme="minorEastAsia" w:hAnsiTheme="minorEastAsia"/>
                <w:sz w:val="24"/>
                <w:szCs w:val="24"/>
              </w:rPr>
              <w:t>%</w:t>
            </w:r>
          </w:p>
        </w:tc>
        <w:tc>
          <w:tcPr>
            <w:tcW w:w="745" w:type="pct"/>
            <w:tcBorders>
              <w:top w:val="nil"/>
              <w:left w:val="nil"/>
              <w:bottom w:val="single" w:sz="4" w:space="0" w:color="000000"/>
              <w:right w:val="single" w:sz="4" w:space="0" w:color="000000"/>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296.48</w:t>
            </w:r>
          </w:p>
        </w:tc>
        <w:tc>
          <w:tcPr>
            <w:tcW w:w="580" w:type="pct"/>
            <w:tcBorders>
              <w:top w:val="nil"/>
              <w:left w:val="nil"/>
              <w:bottom w:val="single" w:sz="4" w:space="0" w:color="auto"/>
              <w:right w:val="single" w:sz="4" w:space="0" w:color="auto"/>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0.77%</w:t>
            </w:r>
          </w:p>
        </w:tc>
        <w:tc>
          <w:tcPr>
            <w:tcW w:w="746" w:type="pct"/>
            <w:tcBorders>
              <w:top w:val="nil"/>
              <w:left w:val="nil"/>
              <w:bottom w:val="single" w:sz="4" w:space="0" w:color="000000"/>
              <w:right w:val="single" w:sz="4" w:space="0" w:color="000000"/>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286.27</w:t>
            </w:r>
          </w:p>
        </w:tc>
        <w:tc>
          <w:tcPr>
            <w:tcW w:w="640" w:type="pct"/>
            <w:tcBorders>
              <w:top w:val="nil"/>
              <w:left w:val="nil"/>
              <w:bottom w:val="single" w:sz="4" w:space="0" w:color="auto"/>
              <w:right w:val="single" w:sz="4" w:space="0" w:color="auto"/>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0.76%</w:t>
            </w:r>
          </w:p>
        </w:tc>
      </w:tr>
      <w:tr w:rsidR="008768CC" w:rsidTr="00293A0E">
        <w:trPr>
          <w:trHeight w:val="340"/>
          <w:jc w:val="center"/>
        </w:trPr>
        <w:tc>
          <w:tcPr>
            <w:tcW w:w="939" w:type="pct"/>
            <w:tcBorders>
              <w:top w:val="nil"/>
              <w:left w:val="single" w:sz="4" w:space="0" w:color="auto"/>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业务及管理费</w:t>
            </w:r>
          </w:p>
        </w:tc>
        <w:tc>
          <w:tcPr>
            <w:tcW w:w="710" w:type="pct"/>
            <w:tcBorders>
              <w:top w:val="nil"/>
              <w:left w:val="nil"/>
              <w:bottom w:val="single" w:sz="4" w:space="0" w:color="000000"/>
              <w:right w:val="single" w:sz="4" w:space="0" w:color="000000"/>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27,059.74</w:t>
            </w:r>
          </w:p>
        </w:tc>
        <w:tc>
          <w:tcPr>
            <w:tcW w:w="637" w:type="pct"/>
            <w:tcBorders>
              <w:top w:val="nil"/>
              <w:left w:val="nil"/>
              <w:bottom w:val="single" w:sz="4" w:space="0" w:color="auto"/>
              <w:right w:val="single" w:sz="4" w:space="0" w:color="auto"/>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67.07</w:t>
            </w:r>
            <w:r>
              <w:rPr>
                <w:rFonts w:asciiTheme="minorEastAsia" w:eastAsiaTheme="minorEastAsia" w:hAnsiTheme="minorEastAsia"/>
                <w:sz w:val="24"/>
                <w:szCs w:val="24"/>
              </w:rPr>
              <w:t>%</w:t>
            </w:r>
          </w:p>
        </w:tc>
        <w:tc>
          <w:tcPr>
            <w:tcW w:w="745" w:type="pct"/>
            <w:tcBorders>
              <w:top w:val="nil"/>
              <w:left w:val="nil"/>
              <w:bottom w:val="single" w:sz="4" w:space="0" w:color="000000"/>
              <w:right w:val="single" w:sz="4" w:space="0" w:color="000000"/>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27,498.59</w:t>
            </w:r>
          </w:p>
        </w:tc>
        <w:tc>
          <w:tcPr>
            <w:tcW w:w="580" w:type="pct"/>
            <w:tcBorders>
              <w:top w:val="nil"/>
              <w:left w:val="nil"/>
              <w:bottom w:val="single" w:sz="4" w:space="0" w:color="auto"/>
              <w:right w:val="single" w:sz="4" w:space="0" w:color="auto"/>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71.32%</w:t>
            </w:r>
          </w:p>
        </w:tc>
        <w:tc>
          <w:tcPr>
            <w:tcW w:w="746" w:type="pct"/>
            <w:tcBorders>
              <w:top w:val="nil"/>
              <w:left w:val="nil"/>
              <w:bottom w:val="single" w:sz="4" w:space="0" w:color="000000"/>
              <w:right w:val="single" w:sz="4" w:space="0" w:color="000000"/>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27,270.77</w:t>
            </w:r>
          </w:p>
        </w:tc>
        <w:tc>
          <w:tcPr>
            <w:tcW w:w="640" w:type="pct"/>
            <w:tcBorders>
              <w:top w:val="nil"/>
              <w:left w:val="nil"/>
              <w:bottom w:val="single" w:sz="4" w:space="0" w:color="auto"/>
              <w:right w:val="single" w:sz="4" w:space="0" w:color="auto"/>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72.68%</w:t>
            </w:r>
          </w:p>
        </w:tc>
      </w:tr>
      <w:tr w:rsidR="008768CC" w:rsidTr="00293A0E">
        <w:trPr>
          <w:trHeight w:val="340"/>
          <w:jc w:val="center"/>
        </w:trPr>
        <w:tc>
          <w:tcPr>
            <w:tcW w:w="939" w:type="pct"/>
            <w:tcBorders>
              <w:top w:val="nil"/>
              <w:left w:val="single" w:sz="4" w:space="0" w:color="auto"/>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信用减值损失</w:t>
            </w:r>
          </w:p>
        </w:tc>
        <w:tc>
          <w:tcPr>
            <w:tcW w:w="710" w:type="pct"/>
            <w:tcBorders>
              <w:top w:val="nil"/>
              <w:left w:val="nil"/>
              <w:bottom w:val="single" w:sz="4" w:space="0" w:color="000000"/>
              <w:right w:val="single" w:sz="4" w:space="0" w:color="000000"/>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12,992.75</w:t>
            </w:r>
          </w:p>
        </w:tc>
        <w:tc>
          <w:tcPr>
            <w:tcW w:w="637" w:type="pct"/>
            <w:tcBorders>
              <w:top w:val="nil"/>
              <w:left w:val="nil"/>
              <w:bottom w:val="single" w:sz="4" w:space="0" w:color="auto"/>
              <w:right w:val="single" w:sz="4" w:space="0" w:color="auto"/>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32.2</w:t>
            </w:r>
            <w:r>
              <w:rPr>
                <w:rFonts w:asciiTheme="minorEastAsia" w:eastAsiaTheme="minorEastAsia" w:hAnsiTheme="minorEastAsia"/>
                <w:sz w:val="24"/>
                <w:szCs w:val="24"/>
              </w:rPr>
              <w:t>%</w:t>
            </w:r>
          </w:p>
        </w:tc>
        <w:tc>
          <w:tcPr>
            <w:tcW w:w="745" w:type="pct"/>
            <w:tcBorders>
              <w:top w:val="nil"/>
              <w:left w:val="nil"/>
              <w:bottom w:val="single" w:sz="4" w:space="0" w:color="000000"/>
              <w:right w:val="single" w:sz="4" w:space="0" w:color="000000"/>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10,762.52</w:t>
            </w:r>
          </w:p>
        </w:tc>
        <w:tc>
          <w:tcPr>
            <w:tcW w:w="580" w:type="pct"/>
            <w:tcBorders>
              <w:top w:val="nil"/>
              <w:left w:val="nil"/>
              <w:bottom w:val="single" w:sz="4" w:space="0" w:color="auto"/>
              <w:right w:val="single" w:sz="4" w:space="0" w:color="auto"/>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27.91%</w:t>
            </w:r>
          </w:p>
        </w:tc>
        <w:tc>
          <w:tcPr>
            <w:tcW w:w="746" w:type="pct"/>
            <w:tcBorders>
              <w:top w:val="nil"/>
              <w:left w:val="nil"/>
              <w:bottom w:val="single" w:sz="4" w:space="0" w:color="000000"/>
              <w:right w:val="single" w:sz="4" w:space="0" w:color="000000"/>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9,958.84</w:t>
            </w:r>
          </w:p>
        </w:tc>
        <w:tc>
          <w:tcPr>
            <w:tcW w:w="640" w:type="pct"/>
            <w:tcBorders>
              <w:top w:val="nil"/>
              <w:left w:val="nil"/>
              <w:bottom w:val="single" w:sz="4" w:space="0" w:color="auto"/>
              <w:right w:val="single" w:sz="4" w:space="0" w:color="auto"/>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26.54%</w:t>
            </w:r>
          </w:p>
        </w:tc>
      </w:tr>
      <w:tr w:rsidR="008768CC" w:rsidTr="00293A0E">
        <w:trPr>
          <w:trHeight w:val="340"/>
          <w:jc w:val="center"/>
        </w:trPr>
        <w:tc>
          <w:tcPr>
            <w:tcW w:w="939" w:type="pct"/>
            <w:tcBorders>
              <w:top w:val="nil"/>
              <w:left w:val="single" w:sz="4" w:space="0" w:color="auto"/>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其他业务成本</w:t>
            </w:r>
          </w:p>
        </w:tc>
        <w:tc>
          <w:tcPr>
            <w:tcW w:w="710" w:type="pct"/>
            <w:tcBorders>
              <w:top w:val="nil"/>
              <w:left w:val="nil"/>
              <w:bottom w:val="single" w:sz="4" w:space="0" w:color="000000"/>
              <w:right w:val="single" w:sz="4" w:space="0" w:color="000000"/>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16.49</w:t>
            </w:r>
          </w:p>
        </w:tc>
        <w:tc>
          <w:tcPr>
            <w:tcW w:w="637" w:type="pct"/>
            <w:tcBorders>
              <w:top w:val="nil"/>
              <w:left w:val="nil"/>
              <w:bottom w:val="single" w:sz="4" w:space="0" w:color="auto"/>
              <w:right w:val="single" w:sz="4" w:space="0" w:color="auto"/>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p>
        </w:tc>
        <w:tc>
          <w:tcPr>
            <w:tcW w:w="745" w:type="pct"/>
            <w:tcBorders>
              <w:top w:val="nil"/>
              <w:left w:val="nil"/>
              <w:bottom w:val="single" w:sz="4" w:space="0" w:color="000000"/>
              <w:right w:val="single" w:sz="4" w:space="0" w:color="000000"/>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580" w:type="pct"/>
            <w:tcBorders>
              <w:top w:val="nil"/>
              <w:left w:val="nil"/>
              <w:bottom w:val="single" w:sz="4" w:space="0" w:color="auto"/>
              <w:right w:val="single" w:sz="4" w:space="0" w:color="auto"/>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746" w:type="pct"/>
            <w:tcBorders>
              <w:top w:val="nil"/>
              <w:left w:val="nil"/>
              <w:bottom w:val="single" w:sz="4" w:space="0" w:color="000000"/>
              <w:right w:val="single" w:sz="4" w:space="0" w:color="000000"/>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5.18</w:t>
            </w:r>
          </w:p>
        </w:tc>
        <w:tc>
          <w:tcPr>
            <w:tcW w:w="640" w:type="pct"/>
            <w:tcBorders>
              <w:top w:val="nil"/>
              <w:left w:val="nil"/>
              <w:bottom w:val="single" w:sz="4" w:space="0" w:color="auto"/>
              <w:right w:val="single" w:sz="4" w:space="0" w:color="auto"/>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0.01%</w:t>
            </w:r>
          </w:p>
        </w:tc>
      </w:tr>
      <w:tr w:rsidR="008768CC" w:rsidTr="00293A0E">
        <w:trPr>
          <w:trHeight w:val="340"/>
          <w:jc w:val="center"/>
        </w:trPr>
        <w:tc>
          <w:tcPr>
            <w:tcW w:w="939" w:type="pct"/>
            <w:tcBorders>
              <w:top w:val="nil"/>
              <w:left w:val="single" w:sz="4" w:space="0" w:color="auto"/>
              <w:bottom w:val="single" w:sz="4" w:space="0" w:color="auto"/>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营业支出</w:t>
            </w:r>
          </w:p>
        </w:tc>
        <w:tc>
          <w:tcPr>
            <w:tcW w:w="710" w:type="pct"/>
            <w:tcBorders>
              <w:top w:val="nil"/>
              <w:left w:val="nil"/>
              <w:bottom w:val="single" w:sz="4" w:space="0" w:color="000000"/>
              <w:right w:val="single" w:sz="4" w:space="0" w:color="000000"/>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40,345.73</w:t>
            </w:r>
          </w:p>
        </w:tc>
        <w:tc>
          <w:tcPr>
            <w:tcW w:w="637"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100.00%</w:t>
            </w:r>
          </w:p>
        </w:tc>
        <w:tc>
          <w:tcPr>
            <w:tcW w:w="745" w:type="pct"/>
            <w:tcBorders>
              <w:top w:val="nil"/>
              <w:left w:val="nil"/>
              <w:bottom w:val="single" w:sz="4" w:space="0" w:color="000000"/>
              <w:right w:val="single" w:sz="4" w:space="0" w:color="000000"/>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38,557.59</w:t>
            </w:r>
          </w:p>
        </w:tc>
        <w:tc>
          <w:tcPr>
            <w:tcW w:w="580" w:type="pct"/>
            <w:tcBorders>
              <w:top w:val="nil"/>
              <w:left w:val="nil"/>
              <w:bottom w:val="single" w:sz="4" w:space="0" w:color="auto"/>
              <w:right w:val="single" w:sz="4" w:space="0" w:color="auto"/>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100.00%</w:t>
            </w:r>
          </w:p>
        </w:tc>
        <w:tc>
          <w:tcPr>
            <w:tcW w:w="746" w:type="pct"/>
            <w:tcBorders>
              <w:top w:val="nil"/>
              <w:left w:val="nil"/>
              <w:bottom w:val="single" w:sz="4" w:space="0" w:color="000000"/>
              <w:right w:val="single" w:sz="4" w:space="0" w:color="000000"/>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37,521.06</w:t>
            </w:r>
          </w:p>
        </w:tc>
        <w:tc>
          <w:tcPr>
            <w:tcW w:w="640" w:type="pct"/>
            <w:tcBorders>
              <w:top w:val="nil"/>
              <w:left w:val="nil"/>
              <w:bottom w:val="single" w:sz="4" w:space="0" w:color="auto"/>
              <w:right w:val="single" w:sz="4" w:space="0" w:color="auto"/>
            </w:tcBorders>
            <w:noWrap/>
          </w:tcPr>
          <w:p w:rsidR="008768CC" w:rsidRDefault="008768CC" w:rsidP="00293A0E">
            <w:pPr>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100.00%</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w:t>
      </w:r>
      <w:r>
        <w:rPr>
          <w:rFonts w:asciiTheme="minorEastAsia" w:eastAsiaTheme="minorEastAsia" w:hAnsiTheme="minorEastAsia" w:cs="宋体" w:hint="eastAsia"/>
          <w:b/>
          <w:kern w:val="0"/>
          <w:sz w:val="24"/>
          <w:szCs w:val="24"/>
        </w:rPr>
        <w:t>业务及管理费</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7" w:right="-182"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报告期内，本行业务及管理费用2.71亿元，同比减少</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04亿元，降幅1.6</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。业务及管理费用同比变化不大且控制在合理区间，本行将通过做好费用规划控制、优化资源配置等措施，持续提升费用开支的创效性。</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7" w:right="-182"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w:t>
      </w:r>
      <w:r>
        <w:rPr>
          <w:rFonts w:asciiTheme="minorEastAsia" w:eastAsiaTheme="minorEastAsia" w:hAnsiTheme="minorEastAsia" w:cs="宋体" w:hint="eastAsia"/>
          <w:b/>
          <w:kern w:val="0"/>
          <w:sz w:val="24"/>
          <w:szCs w:val="24"/>
        </w:rPr>
        <w:t>信用减值损失</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7" w:right="-182"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报告期内，本行提取信用减值损失1.3亿元，同比增加0.22亿元，增幅20.72</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。主要是本行为增强抵御风险能力，加大信用减值损失计提，截至报告期末，本行拨备覆盖率318.87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，拨贷比</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，符合监管要求。</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7" w:right="-182"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3.</w:t>
      </w:r>
      <w:r>
        <w:rPr>
          <w:rFonts w:asciiTheme="minorEastAsia" w:eastAsiaTheme="minorEastAsia" w:hAnsiTheme="minorEastAsia" w:cs="宋体" w:hint="eastAsia"/>
          <w:b/>
          <w:kern w:val="0"/>
          <w:sz w:val="24"/>
          <w:szCs w:val="24"/>
        </w:rPr>
        <w:t>税金及附加</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7" w:right="-182"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报告期内，本行税金及附加</w:t>
      </w:r>
      <w:r>
        <w:rPr>
          <w:rFonts w:asciiTheme="minorEastAsia" w:eastAsiaTheme="minorEastAsia" w:hAnsiTheme="minorEastAsia" w:cs="宋体"/>
          <w:kern w:val="0"/>
          <w:sz w:val="24"/>
          <w:szCs w:val="24"/>
        </w:rPr>
        <w:t>0.03</w:t>
      </w:r>
      <w:r>
        <w:rPr>
          <w:rFonts w:asciiTheme="minorEastAsia" w:eastAsiaTheme="minorEastAsia" w:hAnsiTheme="minorEastAsia" w:cs="宋体" w:hint="eastAsia"/>
          <w:kern w:val="0"/>
          <w:sz w:val="24"/>
          <w:szCs w:val="24"/>
        </w:rPr>
        <w:t>亿元，与去年同期基本持平。</w:t>
      </w:r>
      <w:r>
        <w:rPr>
          <w:rFonts w:asciiTheme="minorEastAsia" w:eastAsiaTheme="minorEastAsia" w:hAnsiTheme="minorEastAsia" w:cs="宋体"/>
          <w:kern w:val="0"/>
          <w:sz w:val="24"/>
          <w:szCs w:val="24"/>
        </w:rPr>
        <w:t>2016</w:t>
      </w:r>
      <w:r>
        <w:rPr>
          <w:rFonts w:asciiTheme="minorEastAsia" w:eastAsiaTheme="minorEastAsia" w:hAnsiTheme="minorEastAsia" w:cs="宋体" w:hint="eastAsia"/>
          <w:kern w:val="0"/>
          <w:sz w:val="24"/>
          <w:szCs w:val="24"/>
        </w:rPr>
        <w:t>年</w:t>
      </w:r>
      <w:r>
        <w:rPr>
          <w:rFonts w:asciiTheme="minorEastAsia" w:eastAsiaTheme="minorEastAsia" w:hAnsiTheme="minorEastAsia" w:cs="宋体"/>
          <w:kern w:val="0"/>
          <w:sz w:val="24"/>
          <w:szCs w:val="24"/>
        </w:rPr>
        <w:t>5</w:t>
      </w:r>
      <w:r>
        <w:rPr>
          <w:rFonts w:asciiTheme="minorEastAsia" w:eastAsiaTheme="minorEastAsia" w:hAnsiTheme="minorEastAsia" w:cs="宋体" w:hint="eastAsia"/>
          <w:kern w:val="0"/>
          <w:sz w:val="24"/>
          <w:szCs w:val="24"/>
        </w:rPr>
        <w:t>月</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日后，由于全面实施“营改增”政策，本行应缴税服务由缴纳营业税改征缴纳增值税，税金及附加支出与去年同期基本持平。</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7" w:right="-182"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8.2.2</w:t>
      </w:r>
      <w:r>
        <w:rPr>
          <w:rFonts w:asciiTheme="minorEastAsia" w:eastAsiaTheme="minorEastAsia" w:hAnsiTheme="minorEastAsia" w:cs="宋体" w:hint="eastAsia"/>
          <w:b/>
          <w:kern w:val="0"/>
          <w:sz w:val="24"/>
          <w:szCs w:val="24"/>
        </w:rPr>
        <w:t>资产负债表分析</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7" w:right="-182"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截至报告期末，本行资产总额272.2亿元，同比增加5.08亿元，增幅1.9</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；负债总额252.68亿元，同比增加4.56亿元，增幅1.84</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；所有者权益19.52亿元，同比增加</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.52亿元，增幅2.71</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hint="eastAsia"/>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单位：人民币万元</w:t>
      </w:r>
    </w:p>
    <w:tbl>
      <w:tblPr>
        <w:tblW w:w="9790" w:type="dxa"/>
        <w:jc w:val="center"/>
        <w:tblLayout w:type="fixed"/>
        <w:tblLook w:val="04A0" w:firstRow="1" w:lastRow="0" w:firstColumn="1" w:lastColumn="0" w:noHBand="0" w:noVBand="1"/>
      </w:tblPr>
      <w:tblGrid>
        <w:gridCol w:w="1900"/>
        <w:gridCol w:w="1731"/>
        <w:gridCol w:w="828"/>
        <w:gridCol w:w="1671"/>
        <w:gridCol w:w="847"/>
        <w:gridCol w:w="1665"/>
        <w:gridCol w:w="1148"/>
      </w:tblGrid>
      <w:tr w:rsidR="008768CC" w:rsidTr="00293A0E">
        <w:trPr>
          <w:trHeight w:val="397"/>
          <w:jc w:val="center"/>
        </w:trPr>
        <w:tc>
          <w:tcPr>
            <w:tcW w:w="1900" w:type="dxa"/>
            <w:vMerge w:val="restart"/>
            <w:tcBorders>
              <w:top w:val="single" w:sz="4" w:space="0" w:color="auto"/>
              <w:left w:val="single" w:sz="4" w:space="0" w:color="auto"/>
              <w:bottom w:val="single" w:sz="4" w:space="0" w:color="000000"/>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项目</w:t>
            </w:r>
          </w:p>
        </w:tc>
        <w:tc>
          <w:tcPr>
            <w:tcW w:w="2559" w:type="dxa"/>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3年</w:t>
            </w:r>
          </w:p>
        </w:tc>
        <w:tc>
          <w:tcPr>
            <w:tcW w:w="2518" w:type="dxa"/>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2年</w:t>
            </w:r>
          </w:p>
        </w:tc>
        <w:tc>
          <w:tcPr>
            <w:tcW w:w="2813" w:type="dxa"/>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w:t>
            </w:r>
            <w:r>
              <w:rPr>
                <w:rFonts w:asciiTheme="minorEastAsia" w:eastAsiaTheme="minorEastAsia" w:hAnsiTheme="minorEastAsia" w:cs="宋体" w:hint="eastAsia"/>
                <w:b/>
                <w:kern w:val="0"/>
                <w:sz w:val="24"/>
                <w:szCs w:val="24"/>
              </w:rPr>
              <w:t>21年</w:t>
            </w:r>
          </w:p>
        </w:tc>
      </w:tr>
      <w:tr w:rsidR="008768CC" w:rsidTr="00293A0E">
        <w:trPr>
          <w:trHeight w:val="397"/>
          <w:jc w:val="center"/>
        </w:trPr>
        <w:tc>
          <w:tcPr>
            <w:tcW w:w="1900" w:type="dxa"/>
            <w:vMerge/>
            <w:tcBorders>
              <w:top w:val="single" w:sz="4" w:space="0" w:color="auto"/>
              <w:left w:val="single" w:sz="4" w:space="0" w:color="auto"/>
              <w:bottom w:val="single" w:sz="4" w:space="0" w:color="000000"/>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p>
        </w:tc>
        <w:tc>
          <w:tcPr>
            <w:tcW w:w="1731" w:type="dxa"/>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828" w:type="dxa"/>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同比</w:t>
            </w:r>
          </w:p>
        </w:tc>
        <w:tc>
          <w:tcPr>
            <w:tcW w:w="1671" w:type="dxa"/>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847" w:type="dxa"/>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同比</w:t>
            </w:r>
          </w:p>
        </w:tc>
        <w:tc>
          <w:tcPr>
            <w:tcW w:w="1665" w:type="dxa"/>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1148" w:type="dxa"/>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同比</w:t>
            </w:r>
          </w:p>
        </w:tc>
      </w:tr>
      <w:tr w:rsidR="008768CC" w:rsidTr="00293A0E">
        <w:trPr>
          <w:trHeight w:val="397"/>
          <w:jc w:val="center"/>
        </w:trPr>
        <w:tc>
          <w:tcPr>
            <w:tcW w:w="1900" w:type="dxa"/>
            <w:tcBorders>
              <w:top w:val="nil"/>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资产总额</w:t>
            </w:r>
          </w:p>
        </w:tc>
        <w:tc>
          <w:tcPr>
            <w:tcW w:w="1731" w:type="dxa"/>
            <w:tcBorders>
              <w:top w:val="nil"/>
              <w:left w:val="nil"/>
              <w:bottom w:val="single" w:sz="4" w:space="0" w:color="000000"/>
              <w:right w:val="single" w:sz="4" w:space="0" w:color="000000"/>
            </w:tcBorders>
            <w:noWrap/>
            <w:vAlign w:val="center"/>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2,721,994.81</w:t>
            </w:r>
          </w:p>
        </w:tc>
        <w:tc>
          <w:tcPr>
            <w:tcW w:w="828" w:type="dxa"/>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1.9</w:t>
            </w:r>
            <w:r>
              <w:rPr>
                <w:rFonts w:asciiTheme="minorEastAsia" w:eastAsiaTheme="minorEastAsia" w:hAnsiTheme="minorEastAsia"/>
                <w:sz w:val="24"/>
                <w:szCs w:val="24"/>
              </w:rPr>
              <w:t>%</w:t>
            </w:r>
          </w:p>
        </w:tc>
        <w:tc>
          <w:tcPr>
            <w:tcW w:w="1671" w:type="dxa"/>
            <w:tcBorders>
              <w:top w:val="nil"/>
              <w:left w:val="nil"/>
              <w:bottom w:val="single" w:sz="4" w:space="0" w:color="000000"/>
              <w:right w:val="single" w:sz="4" w:space="0" w:color="000000"/>
            </w:tcBorders>
            <w:noWrap/>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2,671,220.41</w:t>
            </w:r>
          </w:p>
        </w:tc>
        <w:tc>
          <w:tcPr>
            <w:tcW w:w="847" w:type="dxa"/>
            <w:tcBorders>
              <w:top w:val="nil"/>
              <w:left w:val="nil"/>
              <w:bottom w:val="single" w:sz="4" w:space="0" w:color="auto"/>
              <w:right w:val="single" w:sz="4" w:space="0" w:color="auto"/>
            </w:tcBorders>
            <w:noWrap/>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p>
        </w:tc>
        <w:tc>
          <w:tcPr>
            <w:tcW w:w="1665" w:type="dxa"/>
            <w:tcBorders>
              <w:top w:val="nil"/>
              <w:left w:val="nil"/>
              <w:bottom w:val="single" w:sz="4" w:space="0" w:color="000000"/>
              <w:right w:val="single" w:sz="4" w:space="0" w:color="000000"/>
            </w:tcBorders>
            <w:noWrap/>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2,482,553.28</w:t>
            </w:r>
          </w:p>
        </w:tc>
        <w:tc>
          <w:tcPr>
            <w:tcW w:w="1148" w:type="dxa"/>
            <w:tcBorders>
              <w:top w:val="nil"/>
              <w:left w:val="nil"/>
              <w:bottom w:val="single" w:sz="4" w:space="0" w:color="auto"/>
              <w:right w:val="single" w:sz="4" w:space="0" w:color="auto"/>
            </w:tcBorders>
            <w:noWrap/>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5.02%</w:t>
            </w:r>
          </w:p>
        </w:tc>
      </w:tr>
      <w:tr w:rsidR="008768CC" w:rsidTr="00293A0E">
        <w:trPr>
          <w:trHeight w:val="397"/>
          <w:jc w:val="center"/>
        </w:trPr>
        <w:tc>
          <w:tcPr>
            <w:tcW w:w="1900" w:type="dxa"/>
            <w:tcBorders>
              <w:top w:val="nil"/>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负债总额</w:t>
            </w:r>
          </w:p>
        </w:tc>
        <w:tc>
          <w:tcPr>
            <w:tcW w:w="1731" w:type="dxa"/>
            <w:tcBorders>
              <w:top w:val="nil"/>
              <w:left w:val="nil"/>
              <w:bottom w:val="single" w:sz="4" w:space="0" w:color="000000"/>
              <w:right w:val="single" w:sz="4" w:space="0" w:color="000000"/>
            </w:tcBorders>
            <w:noWrap/>
            <w:vAlign w:val="center"/>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2,526,790.62</w:t>
            </w:r>
          </w:p>
        </w:tc>
        <w:tc>
          <w:tcPr>
            <w:tcW w:w="828" w:type="dxa"/>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1.84</w:t>
            </w:r>
            <w:r>
              <w:rPr>
                <w:rFonts w:asciiTheme="minorEastAsia" w:eastAsiaTheme="minorEastAsia" w:hAnsiTheme="minorEastAsia"/>
                <w:sz w:val="24"/>
                <w:szCs w:val="24"/>
              </w:rPr>
              <w:t>%</w:t>
            </w:r>
          </w:p>
        </w:tc>
        <w:tc>
          <w:tcPr>
            <w:tcW w:w="1671" w:type="dxa"/>
            <w:tcBorders>
              <w:top w:val="nil"/>
              <w:left w:val="nil"/>
              <w:bottom w:val="single" w:sz="4" w:space="0" w:color="000000"/>
              <w:right w:val="single" w:sz="4" w:space="0" w:color="000000"/>
            </w:tcBorders>
            <w:noWrap/>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2,481,168.03</w:t>
            </w:r>
          </w:p>
        </w:tc>
        <w:tc>
          <w:tcPr>
            <w:tcW w:w="847" w:type="dxa"/>
            <w:tcBorders>
              <w:top w:val="nil"/>
              <w:left w:val="nil"/>
              <w:bottom w:val="single" w:sz="4" w:space="0" w:color="auto"/>
              <w:right w:val="single" w:sz="4" w:space="0" w:color="auto"/>
            </w:tcBorders>
            <w:noWrap/>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7.8</w:t>
            </w: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p>
        </w:tc>
        <w:tc>
          <w:tcPr>
            <w:tcW w:w="1665" w:type="dxa"/>
            <w:tcBorders>
              <w:top w:val="nil"/>
              <w:left w:val="nil"/>
              <w:bottom w:val="single" w:sz="4" w:space="0" w:color="000000"/>
              <w:right w:val="single" w:sz="4" w:space="0" w:color="000000"/>
            </w:tcBorders>
            <w:noWrap/>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2,300,413.61</w:t>
            </w:r>
          </w:p>
        </w:tc>
        <w:tc>
          <w:tcPr>
            <w:tcW w:w="1148" w:type="dxa"/>
            <w:tcBorders>
              <w:top w:val="nil"/>
              <w:left w:val="nil"/>
              <w:bottom w:val="single" w:sz="4" w:space="0" w:color="auto"/>
              <w:right w:val="single" w:sz="4" w:space="0" w:color="auto"/>
            </w:tcBorders>
            <w:noWrap/>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5.50%</w:t>
            </w:r>
          </w:p>
        </w:tc>
      </w:tr>
      <w:tr w:rsidR="008768CC" w:rsidTr="00293A0E">
        <w:trPr>
          <w:trHeight w:val="397"/>
          <w:jc w:val="center"/>
        </w:trPr>
        <w:tc>
          <w:tcPr>
            <w:tcW w:w="1900" w:type="dxa"/>
            <w:tcBorders>
              <w:top w:val="nil"/>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所有者权益总额</w:t>
            </w:r>
          </w:p>
        </w:tc>
        <w:tc>
          <w:tcPr>
            <w:tcW w:w="1731" w:type="dxa"/>
            <w:tcBorders>
              <w:top w:val="nil"/>
              <w:left w:val="nil"/>
              <w:bottom w:val="single" w:sz="4" w:space="0" w:color="000000"/>
              <w:right w:val="single" w:sz="4" w:space="0" w:color="000000"/>
            </w:tcBorders>
            <w:noWrap/>
            <w:vAlign w:val="center"/>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195,204.19</w:t>
            </w:r>
          </w:p>
        </w:tc>
        <w:tc>
          <w:tcPr>
            <w:tcW w:w="828" w:type="dxa"/>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2.71</w:t>
            </w:r>
            <w:r>
              <w:rPr>
                <w:rFonts w:asciiTheme="minorEastAsia" w:eastAsiaTheme="minorEastAsia" w:hAnsiTheme="minorEastAsia"/>
                <w:sz w:val="24"/>
                <w:szCs w:val="24"/>
              </w:rPr>
              <w:t>%</w:t>
            </w:r>
          </w:p>
        </w:tc>
        <w:tc>
          <w:tcPr>
            <w:tcW w:w="1671" w:type="dxa"/>
            <w:tcBorders>
              <w:top w:val="nil"/>
              <w:left w:val="nil"/>
              <w:bottom w:val="single" w:sz="4" w:space="0" w:color="000000"/>
              <w:right w:val="single" w:sz="4" w:space="0" w:color="000000"/>
            </w:tcBorders>
            <w:noWrap/>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190,052.38</w:t>
            </w:r>
          </w:p>
        </w:tc>
        <w:tc>
          <w:tcPr>
            <w:tcW w:w="847" w:type="dxa"/>
            <w:tcBorders>
              <w:top w:val="nil"/>
              <w:left w:val="nil"/>
              <w:bottom w:val="single" w:sz="4" w:space="0" w:color="auto"/>
              <w:right w:val="single" w:sz="4" w:space="0" w:color="auto"/>
            </w:tcBorders>
            <w:noWrap/>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4.3</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p>
        </w:tc>
        <w:tc>
          <w:tcPr>
            <w:tcW w:w="1665" w:type="dxa"/>
            <w:tcBorders>
              <w:top w:val="nil"/>
              <w:left w:val="nil"/>
              <w:bottom w:val="single" w:sz="4" w:space="0" w:color="000000"/>
              <w:right w:val="single" w:sz="4" w:space="0" w:color="000000"/>
            </w:tcBorders>
            <w:noWrap/>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182,139.67</w:t>
            </w:r>
          </w:p>
        </w:tc>
        <w:tc>
          <w:tcPr>
            <w:tcW w:w="1148" w:type="dxa"/>
            <w:tcBorders>
              <w:top w:val="nil"/>
              <w:left w:val="nil"/>
              <w:bottom w:val="single" w:sz="4" w:space="0" w:color="auto"/>
              <w:right w:val="single" w:sz="4" w:space="0" w:color="auto"/>
            </w:tcBorders>
            <w:noWrap/>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-0.71%</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8.2.2.1</w:t>
      </w:r>
      <w:r>
        <w:rPr>
          <w:rFonts w:asciiTheme="minorEastAsia" w:eastAsiaTheme="minorEastAsia" w:hAnsiTheme="minorEastAsia" w:cs="宋体" w:hint="eastAsia"/>
          <w:b/>
          <w:kern w:val="0"/>
          <w:sz w:val="24"/>
          <w:szCs w:val="24"/>
        </w:rPr>
        <w:t>主要资产项目</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本行资产项目以发放贷款和垫款和投资类资产为主，其次是存放中央银行款项。截至报告期末，发放贷款和垫款（减值后）、投资类资产（减值后）和现金及存放中央银行款项占总资产的比重分别为</w:t>
      </w:r>
      <w:r>
        <w:rPr>
          <w:rFonts w:asciiTheme="minorEastAsia" w:eastAsiaTheme="minorEastAsia" w:hAnsiTheme="minorEastAsia" w:cs="宋体"/>
          <w:kern w:val="0"/>
          <w:sz w:val="24"/>
          <w:szCs w:val="24"/>
        </w:rPr>
        <w:t>49.</w:t>
      </w:r>
      <w:r>
        <w:rPr>
          <w:rFonts w:asciiTheme="minorEastAsia" w:eastAsiaTheme="minorEastAsia" w:hAnsiTheme="minorEastAsia" w:cs="宋体" w:hint="eastAsia"/>
          <w:kern w:val="0"/>
          <w:sz w:val="24"/>
          <w:szCs w:val="24"/>
        </w:rPr>
        <w:t>07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、30.55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和10.63</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p>
    <w:tbl>
      <w:tblPr>
        <w:tblpPr w:leftFromText="180" w:rightFromText="180" w:vertAnchor="text" w:horzAnchor="margin" w:tblpXSpec="center" w:tblpY="604"/>
        <w:tblW w:w="9524" w:type="dxa"/>
        <w:tblLayout w:type="fixed"/>
        <w:tblLook w:val="04A0" w:firstRow="1" w:lastRow="0" w:firstColumn="1" w:lastColumn="0" w:noHBand="0" w:noVBand="1"/>
      </w:tblPr>
      <w:tblGrid>
        <w:gridCol w:w="1659"/>
        <w:gridCol w:w="1515"/>
        <w:gridCol w:w="1290"/>
        <w:gridCol w:w="1665"/>
        <w:gridCol w:w="885"/>
        <w:gridCol w:w="1580"/>
        <w:gridCol w:w="930"/>
      </w:tblGrid>
      <w:tr w:rsidR="008768CC" w:rsidTr="00293A0E">
        <w:trPr>
          <w:trHeight w:val="20"/>
        </w:trPr>
        <w:tc>
          <w:tcPr>
            <w:tcW w:w="1659" w:type="dxa"/>
            <w:vMerge w:val="restart"/>
            <w:tcBorders>
              <w:top w:val="single" w:sz="4" w:space="0" w:color="auto"/>
              <w:left w:val="single" w:sz="4" w:space="0" w:color="auto"/>
              <w:bottom w:val="single" w:sz="4" w:space="0" w:color="000000"/>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项目</w:t>
            </w:r>
          </w:p>
        </w:tc>
        <w:tc>
          <w:tcPr>
            <w:tcW w:w="2805" w:type="dxa"/>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3</w:t>
            </w:r>
            <w:r>
              <w:rPr>
                <w:rFonts w:asciiTheme="minorEastAsia" w:eastAsiaTheme="minorEastAsia" w:hAnsiTheme="minorEastAsia" w:cs="宋体"/>
                <w:b/>
                <w:kern w:val="0"/>
                <w:sz w:val="24"/>
                <w:szCs w:val="24"/>
              </w:rPr>
              <w:t>年</w:t>
            </w:r>
          </w:p>
        </w:tc>
        <w:tc>
          <w:tcPr>
            <w:tcW w:w="2550" w:type="dxa"/>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2</w:t>
            </w:r>
            <w:r>
              <w:rPr>
                <w:rFonts w:asciiTheme="minorEastAsia" w:eastAsiaTheme="minorEastAsia" w:hAnsiTheme="minorEastAsia" w:cs="宋体"/>
                <w:b/>
                <w:kern w:val="0"/>
                <w:sz w:val="24"/>
                <w:szCs w:val="24"/>
              </w:rPr>
              <w:t>年</w:t>
            </w:r>
          </w:p>
        </w:tc>
        <w:tc>
          <w:tcPr>
            <w:tcW w:w="2510" w:type="dxa"/>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w:t>
            </w:r>
            <w:r>
              <w:rPr>
                <w:rFonts w:asciiTheme="minorEastAsia" w:eastAsiaTheme="minorEastAsia" w:hAnsiTheme="minorEastAsia" w:cs="宋体" w:hint="eastAsia"/>
                <w:b/>
                <w:kern w:val="0"/>
                <w:sz w:val="24"/>
                <w:szCs w:val="24"/>
              </w:rPr>
              <w:t>21</w:t>
            </w:r>
            <w:r>
              <w:rPr>
                <w:rFonts w:asciiTheme="minorEastAsia" w:eastAsiaTheme="minorEastAsia" w:hAnsiTheme="minorEastAsia" w:cs="宋体"/>
                <w:b/>
                <w:kern w:val="0"/>
                <w:sz w:val="24"/>
                <w:szCs w:val="24"/>
              </w:rPr>
              <w:t>年</w:t>
            </w:r>
          </w:p>
        </w:tc>
      </w:tr>
      <w:tr w:rsidR="008768CC" w:rsidTr="00293A0E">
        <w:trPr>
          <w:trHeight w:val="20"/>
        </w:trPr>
        <w:tc>
          <w:tcPr>
            <w:tcW w:w="1659" w:type="dxa"/>
            <w:vMerge/>
            <w:tcBorders>
              <w:top w:val="single" w:sz="4" w:space="0" w:color="auto"/>
              <w:left w:val="single" w:sz="4" w:space="0" w:color="auto"/>
              <w:bottom w:val="single" w:sz="4" w:space="0" w:color="000000"/>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p>
        </w:tc>
        <w:tc>
          <w:tcPr>
            <w:tcW w:w="1515" w:type="dxa"/>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1290" w:type="dxa"/>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c>
          <w:tcPr>
            <w:tcW w:w="1665" w:type="dxa"/>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885" w:type="dxa"/>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c>
          <w:tcPr>
            <w:tcW w:w="1580" w:type="dxa"/>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930" w:type="dxa"/>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r>
      <w:tr w:rsidR="008768CC" w:rsidTr="00293A0E">
        <w:trPr>
          <w:trHeight w:val="20"/>
        </w:trPr>
        <w:tc>
          <w:tcPr>
            <w:tcW w:w="1659" w:type="dxa"/>
            <w:tcBorders>
              <w:top w:val="nil"/>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现金及存放中央银行款项</w:t>
            </w:r>
          </w:p>
        </w:tc>
        <w:tc>
          <w:tcPr>
            <w:tcW w:w="1515" w:type="dxa"/>
            <w:tcBorders>
              <w:top w:val="nil"/>
              <w:left w:val="nil"/>
              <w:bottom w:val="single" w:sz="4" w:space="0" w:color="000000"/>
              <w:right w:val="single" w:sz="4" w:space="0" w:color="000000"/>
            </w:tcBorders>
            <w:noWrap/>
            <w:tcMar>
              <w:left w:w="28" w:type="dxa"/>
              <w:right w:w="28" w:type="dxa"/>
            </w:tcMar>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289,458.32</w:t>
            </w:r>
          </w:p>
        </w:tc>
        <w:tc>
          <w:tcPr>
            <w:tcW w:w="1290" w:type="dxa"/>
            <w:tcBorders>
              <w:top w:val="nil"/>
              <w:left w:val="nil"/>
              <w:bottom w:val="single" w:sz="4" w:space="0" w:color="auto"/>
              <w:right w:val="single" w:sz="4" w:space="0" w:color="auto"/>
            </w:tcBorders>
            <w:noWrap/>
            <w:tcMar>
              <w:left w:w="28" w:type="dxa"/>
              <w:right w:w="28" w:type="dxa"/>
            </w:tcMar>
            <w:vAlign w:val="center"/>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10.63</w:t>
            </w:r>
            <w:r>
              <w:rPr>
                <w:rFonts w:asciiTheme="minorEastAsia" w:eastAsiaTheme="minorEastAsia" w:hAnsiTheme="minorEastAsia"/>
                <w:sz w:val="24"/>
                <w:szCs w:val="24"/>
              </w:rPr>
              <w:t>%</w:t>
            </w:r>
          </w:p>
        </w:tc>
        <w:tc>
          <w:tcPr>
            <w:tcW w:w="1665" w:type="dxa"/>
            <w:tcBorders>
              <w:top w:val="nil"/>
              <w:left w:val="nil"/>
              <w:bottom w:val="single" w:sz="4" w:space="0" w:color="000000"/>
              <w:right w:val="single" w:sz="4" w:space="0" w:color="000000"/>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181,040.21</w:t>
            </w:r>
          </w:p>
        </w:tc>
        <w:tc>
          <w:tcPr>
            <w:tcW w:w="885" w:type="dxa"/>
            <w:tcBorders>
              <w:top w:val="nil"/>
              <w:left w:val="nil"/>
              <w:bottom w:val="single" w:sz="4" w:space="0" w:color="auto"/>
              <w:right w:val="single" w:sz="4" w:space="0" w:color="auto"/>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6.78%</w:t>
            </w:r>
          </w:p>
        </w:tc>
        <w:tc>
          <w:tcPr>
            <w:tcW w:w="1580" w:type="dxa"/>
            <w:tcBorders>
              <w:top w:val="nil"/>
              <w:left w:val="nil"/>
              <w:bottom w:val="single" w:sz="4" w:space="0" w:color="000000"/>
              <w:right w:val="single" w:sz="4" w:space="0" w:color="000000"/>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171,828.89</w:t>
            </w:r>
          </w:p>
        </w:tc>
        <w:tc>
          <w:tcPr>
            <w:tcW w:w="930" w:type="dxa"/>
            <w:tcBorders>
              <w:top w:val="nil"/>
              <w:left w:val="nil"/>
              <w:bottom w:val="single" w:sz="4" w:space="0" w:color="auto"/>
              <w:right w:val="single" w:sz="4" w:space="0" w:color="auto"/>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6.92%</w:t>
            </w:r>
          </w:p>
        </w:tc>
      </w:tr>
      <w:tr w:rsidR="008768CC" w:rsidTr="00293A0E">
        <w:trPr>
          <w:trHeight w:val="385"/>
        </w:trPr>
        <w:tc>
          <w:tcPr>
            <w:tcW w:w="1659" w:type="dxa"/>
            <w:tcBorders>
              <w:top w:val="nil"/>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发放贷款和垫款（减值后）</w:t>
            </w:r>
          </w:p>
        </w:tc>
        <w:tc>
          <w:tcPr>
            <w:tcW w:w="1515" w:type="dxa"/>
            <w:tcBorders>
              <w:top w:val="nil"/>
              <w:left w:val="nil"/>
              <w:bottom w:val="single" w:sz="4" w:space="0" w:color="000000"/>
              <w:right w:val="single" w:sz="4" w:space="0" w:color="000000"/>
            </w:tcBorders>
            <w:noWrap/>
            <w:tcMar>
              <w:left w:w="28" w:type="dxa"/>
              <w:right w:w="28" w:type="dxa"/>
            </w:tcMar>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1,335,798.36</w:t>
            </w:r>
          </w:p>
        </w:tc>
        <w:tc>
          <w:tcPr>
            <w:tcW w:w="1290" w:type="dxa"/>
            <w:tcBorders>
              <w:top w:val="nil"/>
              <w:left w:val="nil"/>
              <w:bottom w:val="single" w:sz="4" w:space="0" w:color="auto"/>
              <w:right w:val="single" w:sz="4" w:space="0" w:color="auto"/>
            </w:tcBorders>
            <w:noWrap/>
            <w:tcMar>
              <w:left w:w="28" w:type="dxa"/>
              <w:right w:w="28" w:type="dxa"/>
            </w:tcMar>
            <w:vAlign w:val="center"/>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49.</w:t>
            </w:r>
            <w:r>
              <w:rPr>
                <w:rFonts w:asciiTheme="minorEastAsia" w:eastAsiaTheme="minorEastAsia" w:hAnsiTheme="minorEastAsia" w:hint="eastAsia"/>
                <w:sz w:val="24"/>
                <w:szCs w:val="24"/>
              </w:rPr>
              <w:t>07</w:t>
            </w:r>
            <w:r>
              <w:rPr>
                <w:rFonts w:asciiTheme="minorEastAsia" w:eastAsiaTheme="minorEastAsia" w:hAnsiTheme="minorEastAsia"/>
                <w:sz w:val="24"/>
                <w:szCs w:val="24"/>
              </w:rPr>
              <w:t>%</w:t>
            </w:r>
          </w:p>
        </w:tc>
        <w:tc>
          <w:tcPr>
            <w:tcW w:w="1665" w:type="dxa"/>
            <w:tcBorders>
              <w:top w:val="nil"/>
              <w:left w:val="nil"/>
              <w:bottom w:val="single" w:sz="4" w:space="0" w:color="000000"/>
              <w:right w:val="single" w:sz="4" w:space="0" w:color="000000"/>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1,318,717.24</w:t>
            </w:r>
          </w:p>
        </w:tc>
        <w:tc>
          <w:tcPr>
            <w:tcW w:w="885" w:type="dxa"/>
            <w:tcBorders>
              <w:top w:val="nil"/>
              <w:left w:val="nil"/>
              <w:bottom w:val="single" w:sz="4" w:space="0" w:color="auto"/>
              <w:right w:val="single" w:sz="4" w:space="0" w:color="auto"/>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49.37%</w:t>
            </w:r>
          </w:p>
        </w:tc>
        <w:tc>
          <w:tcPr>
            <w:tcW w:w="1580" w:type="dxa"/>
            <w:tcBorders>
              <w:top w:val="nil"/>
              <w:left w:val="nil"/>
              <w:bottom w:val="single" w:sz="4" w:space="0" w:color="000000"/>
              <w:right w:val="single" w:sz="4" w:space="0" w:color="000000"/>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1,215,296.39</w:t>
            </w:r>
          </w:p>
        </w:tc>
        <w:tc>
          <w:tcPr>
            <w:tcW w:w="930" w:type="dxa"/>
            <w:tcBorders>
              <w:top w:val="nil"/>
              <w:left w:val="nil"/>
              <w:bottom w:val="single" w:sz="4" w:space="0" w:color="auto"/>
              <w:right w:val="single" w:sz="4" w:space="0" w:color="auto"/>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48.95%</w:t>
            </w:r>
          </w:p>
        </w:tc>
      </w:tr>
      <w:tr w:rsidR="008768CC" w:rsidTr="00293A0E">
        <w:trPr>
          <w:trHeight w:val="408"/>
        </w:trPr>
        <w:tc>
          <w:tcPr>
            <w:tcW w:w="1659" w:type="dxa"/>
            <w:tcBorders>
              <w:top w:val="nil"/>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投资类资产（减值后）</w:t>
            </w:r>
          </w:p>
        </w:tc>
        <w:tc>
          <w:tcPr>
            <w:tcW w:w="1515" w:type="dxa"/>
            <w:tcBorders>
              <w:top w:val="nil"/>
              <w:left w:val="nil"/>
              <w:bottom w:val="single" w:sz="4" w:space="0" w:color="000000"/>
              <w:right w:val="single" w:sz="4" w:space="0" w:color="000000"/>
            </w:tcBorders>
            <w:noWrap/>
            <w:tcMar>
              <w:left w:w="28" w:type="dxa"/>
              <w:right w:w="28" w:type="dxa"/>
            </w:tcMar>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8</w:t>
            </w:r>
            <w:r>
              <w:rPr>
                <w:rFonts w:asciiTheme="minorEastAsia" w:eastAsiaTheme="minorEastAsia" w:hAnsiTheme="minorEastAsia" w:hint="eastAsia"/>
                <w:sz w:val="24"/>
                <w:szCs w:val="24"/>
              </w:rPr>
              <w:t>3</w:t>
            </w:r>
            <w:r>
              <w:rPr>
                <w:rFonts w:asciiTheme="minorEastAsia" w:eastAsiaTheme="minorEastAsia" w:hAnsiTheme="minorEastAsia"/>
                <w:sz w:val="24"/>
                <w:szCs w:val="24"/>
              </w:rPr>
              <w:t>1,</w:t>
            </w:r>
            <w:r>
              <w:rPr>
                <w:rFonts w:asciiTheme="minorEastAsia" w:eastAsiaTheme="minorEastAsia" w:hAnsiTheme="minorEastAsia" w:hint="eastAsia"/>
                <w:sz w:val="24"/>
                <w:szCs w:val="24"/>
              </w:rPr>
              <w:t>449.42</w:t>
            </w:r>
          </w:p>
        </w:tc>
        <w:tc>
          <w:tcPr>
            <w:tcW w:w="1290" w:type="dxa"/>
            <w:tcBorders>
              <w:top w:val="nil"/>
              <w:left w:val="nil"/>
              <w:bottom w:val="single" w:sz="4" w:space="0" w:color="auto"/>
              <w:right w:val="single" w:sz="4" w:space="0" w:color="auto"/>
            </w:tcBorders>
            <w:noWrap/>
            <w:tcMar>
              <w:left w:w="28" w:type="dxa"/>
              <w:right w:w="28" w:type="dxa"/>
            </w:tcMar>
            <w:vAlign w:val="center"/>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30.55</w:t>
            </w:r>
            <w:r>
              <w:rPr>
                <w:rFonts w:asciiTheme="minorEastAsia" w:eastAsiaTheme="minorEastAsia" w:hAnsiTheme="minorEastAsia"/>
                <w:sz w:val="24"/>
                <w:szCs w:val="24"/>
              </w:rPr>
              <w:t>%</w:t>
            </w:r>
          </w:p>
        </w:tc>
        <w:tc>
          <w:tcPr>
            <w:tcW w:w="1665" w:type="dxa"/>
            <w:tcBorders>
              <w:top w:val="nil"/>
              <w:left w:val="nil"/>
              <w:bottom w:val="single" w:sz="4" w:space="0" w:color="000000"/>
              <w:right w:val="single" w:sz="4" w:space="0" w:color="000000"/>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8</w:t>
            </w:r>
            <w:r>
              <w:rPr>
                <w:rFonts w:asciiTheme="minorEastAsia" w:eastAsiaTheme="minorEastAsia" w:hAnsiTheme="minorEastAsia" w:hint="eastAsia"/>
                <w:sz w:val="24"/>
                <w:szCs w:val="24"/>
              </w:rPr>
              <w:t>97</w:t>
            </w:r>
            <w:r>
              <w:rPr>
                <w:rFonts w:asciiTheme="minorEastAsia" w:eastAsiaTheme="minorEastAsia" w:hAnsiTheme="minorEastAsia"/>
                <w:sz w:val="24"/>
                <w:szCs w:val="24"/>
              </w:rPr>
              <w:t>,</w:t>
            </w:r>
            <w:r>
              <w:rPr>
                <w:rFonts w:asciiTheme="minorEastAsia" w:eastAsiaTheme="minorEastAsia" w:hAnsiTheme="minorEastAsia" w:hint="eastAsia"/>
                <w:sz w:val="24"/>
                <w:szCs w:val="24"/>
              </w:rPr>
              <w:t>883.77</w:t>
            </w:r>
          </w:p>
        </w:tc>
        <w:tc>
          <w:tcPr>
            <w:tcW w:w="885" w:type="dxa"/>
            <w:tcBorders>
              <w:top w:val="nil"/>
              <w:left w:val="nil"/>
              <w:bottom w:val="single" w:sz="4" w:space="0" w:color="auto"/>
              <w:right w:val="single" w:sz="4" w:space="0" w:color="auto"/>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3.61</w:t>
            </w:r>
            <w:r>
              <w:rPr>
                <w:rFonts w:asciiTheme="minorEastAsia" w:eastAsiaTheme="minorEastAsia" w:hAnsiTheme="minorEastAsia"/>
                <w:sz w:val="24"/>
                <w:szCs w:val="24"/>
              </w:rPr>
              <w:t>%</w:t>
            </w:r>
          </w:p>
        </w:tc>
        <w:tc>
          <w:tcPr>
            <w:tcW w:w="1580" w:type="dxa"/>
            <w:tcBorders>
              <w:top w:val="nil"/>
              <w:left w:val="nil"/>
              <w:bottom w:val="single" w:sz="4" w:space="0" w:color="000000"/>
              <w:right w:val="single" w:sz="4" w:space="0" w:color="000000"/>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808,846.15</w:t>
            </w:r>
          </w:p>
        </w:tc>
        <w:tc>
          <w:tcPr>
            <w:tcW w:w="930" w:type="dxa"/>
            <w:tcBorders>
              <w:top w:val="nil"/>
              <w:left w:val="nil"/>
              <w:bottom w:val="single" w:sz="4" w:space="0" w:color="auto"/>
              <w:right w:val="single" w:sz="4" w:space="0" w:color="auto"/>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2.58</w:t>
            </w:r>
            <w:r>
              <w:rPr>
                <w:rFonts w:asciiTheme="minorEastAsia" w:eastAsiaTheme="minorEastAsia" w:hAnsiTheme="minorEastAsia"/>
                <w:sz w:val="24"/>
                <w:szCs w:val="24"/>
              </w:rPr>
              <w:t>%</w:t>
            </w:r>
          </w:p>
        </w:tc>
      </w:tr>
      <w:tr w:rsidR="008768CC" w:rsidTr="00293A0E">
        <w:trPr>
          <w:trHeight w:val="408"/>
        </w:trPr>
        <w:tc>
          <w:tcPr>
            <w:tcW w:w="1659" w:type="dxa"/>
            <w:tcBorders>
              <w:top w:val="nil"/>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其他资产</w:t>
            </w:r>
          </w:p>
        </w:tc>
        <w:tc>
          <w:tcPr>
            <w:tcW w:w="1515" w:type="dxa"/>
            <w:tcBorders>
              <w:top w:val="nil"/>
              <w:left w:val="nil"/>
              <w:bottom w:val="single" w:sz="4" w:space="0" w:color="auto"/>
              <w:right w:val="single" w:sz="4" w:space="0" w:color="000000"/>
            </w:tcBorders>
            <w:noWrap/>
            <w:tcMar>
              <w:left w:w="28" w:type="dxa"/>
              <w:right w:w="28" w:type="dxa"/>
            </w:tcMar>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265,288.71</w:t>
            </w:r>
          </w:p>
        </w:tc>
        <w:tc>
          <w:tcPr>
            <w:tcW w:w="1290" w:type="dxa"/>
            <w:tcBorders>
              <w:top w:val="nil"/>
              <w:left w:val="nil"/>
              <w:bottom w:val="single" w:sz="4" w:space="0" w:color="auto"/>
              <w:right w:val="single" w:sz="4" w:space="0" w:color="auto"/>
            </w:tcBorders>
            <w:noWrap/>
            <w:tcMar>
              <w:left w:w="28" w:type="dxa"/>
              <w:right w:w="28" w:type="dxa"/>
            </w:tcMar>
            <w:vAlign w:val="center"/>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9.75</w:t>
            </w:r>
            <w:r>
              <w:rPr>
                <w:rFonts w:asciiTheme="minorEastAsia" w:eastAsiaTheme="minorEastAsia" w:hAnsiTheme="minorEastAsia"/>
                <w:sz w:val="24"/>
                <w:szCs w:val="24"/>
              </w:rPr>
              <w:t>%</w:t>
            </w:r>
          </w:p>
        </w:tc>
        <w:tc>
          <w:tcPr>
            <w:tcW w:w="1665" w:type="dxa"/>
            <w:tcBorders>
              <w:top w:val="nil"/>
              <w:left w:val="nil"/>
              <w:bottom w:val="single" w:sz="4" w:space="0" w:color="auto"/>
              <w:right w:val="single" w:sz="4" w:space="0" w:color="000000"/>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273,579.19</w:t>
            </w:r>
          </w:p>
        </w:tc>
        <w:tc>
          <w:tcPr>
            <w:tcW w:w="885" w:type="dxa"/>
            <w:tcBorders>
              <w:top w:val="nil"/>
              <w:left w:val="nil"/>
              <w:bottom w:val="single" w:sz="4" w:space="0" w:color="auto"/>
              <w:right w:val="single" w:sz="4" w:space="0" w:color="auto"/>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0.24</w:t>
            </w:r>
            <w:r>
              <w:rPr>
                <w:rFonts w:asciiTheme="minorEastAsia" w:eastAsiaTheme="minorEastAsia" w:hAnsiTheme="minorEastAsia"/>
                <w:sz w:val="24"/>
                <w:szCs w:val="24"/>
              </w:rPr>
              <w:t>%</w:t>
            </w:r>
          </w:p>
        </w:tc>
        <w:tc>
          <w:tcPr>
            <w:tcW w:w="1580" w:type="dxa"/>
            <w:tcBorders>
              <w:top w:val="nil"/>
              <w:left w:val="nil"/>
              <w:bottom w:val="single" w:sz="4" w:space="0" w:color="auto"/>
              <w:right w:val="single" w:sz="4" w:space="0" w:color="000000"/>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286,581.85</w:t>
            </w:r>
          </w:p>
        </w:tc>
        <w:tc>
          <w:tcPr>
            <w:tcW w:w="930" w:type="dxa"/>
            <w:tcBorders>
              <w:top w:val="nil"/>
              <w:left w:val="nil"/>
              <w:bottom w:val="single" w:sz="4" w:space="0" w:color="auto"/>
              <w:right w:val="single" w:sz="4" w:space="0" w:color="auto"/>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1.55</w:t>
            </w:r>
            <w:r>
              <w:rPr>
                <w:rFonts w:asciiTheme="minorEastAsia" w:eastAsiaTheme="minorEastAsia" w:hAnsiTheme="minorEastAsia"/>
                <w:sz w:val="24"/>
                <w:szCs w:val="24"/>
              </w:rPr>
              <w:t>%</w:t>
            </w:r>
          </w:p>
        </w:tc>
      </w:tr>
      <w:tr w:rsidR="008768CC" w:rsidTr="00293A0E">
        <w:trPr>
          <w:trHeight w:val="385"/>
        </w:trPr>
        <w:tc>
          <w:tcPr>
            <w:tcW w:w="1659" w:type="dxa"/>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资产总额</w:t>
            </w:r>
          </w:p>
        </w:tc>
        <w:tc>
          <w:tcPr>
            <w:tcW w:w="151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2,721,994.81</w:t>
            </w:r>
          </w:p>
        </w:tc>
        <w:tc>
          <w:tcPr>
            <w:tcW w:w="129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w:t>
            </w:r>
          </w:p>
        </w:tc>
        <w:tc>
          <w:tcPr>
            <w:tcW w:w="1665" w:type="dxa"/>
            <w:tcBorders>
              <w:top w:val="single" w:sz="4" w:space="0" w:color="auto"/>
              <w:left w:val="single" w:sz="4" w:space="0" w:color="auto"/>
              <w:bottom w:val="single" w:sz="4" w:space="0" w:color="auto"/>
              <w:right w:val="single" w:sz="4" w:space="0" w:color="auto"/>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2,671,220.41</w:t>
            </w:r>
          </w:p>
        </w:tc>
        <w:tc>
          <w:tcPr>
            <w:tcW w:w="8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w:t>
            </w:r>
          </w:p>
        </w:tc>
        <w:tc>
          <w:tcPr>
            <w:tcW w:w="1580" w:type="dxa"/>
            <w:tcBorders>
              <w:top w:val="single" w:sz="4" w:space="0" w:color="auto"/>
              <w:left w:val="single" w:sz="4" w:space="0" w:color="auto"/>
              <w:bottom w:val="single" w:sz="4" w:space="0" w:color="auto"/>
              <w:right w:val="single" w:sz="4" w:space="0" w:color="auto"/>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2,482,553.28</w:t>
            </w:r>
          </w:p>
        </w:tc>
        <w:tc>
          <w:tcPr>
            <w:tcW w:w="930" w:type="dxa"/>
            <w:tcBorders>
              <w:top w:val="single" w:sz="4" w:space="0" w:color="auto"/>
              <w:left w:val="single" w:sz="4" w:space="0" w:color="auto"/>
              <w:bottom w:val="single" w:sz="4" w:space="0" w:color="auto"/>
              <w:right w:val="single" w:sz="4" w:space="0" w:color="auto"/>
            </w:tcBorders>
            <w:noWrap/>
            <w:tcMar>
              <w:left w:w="28" w:type="dxa"/>
              <w:right w:w="28" w:type="dxa"/>
            </w:tcMa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b/>
          <w:kern w:val="0"/>
          <w:sz w:val="24"/>
          <w:szCs w:val="24"/>
        </w:rPr>
      </w:pPr>
      <w:r>
        <w:rPr>
          <w:rFonts w:asciiTheme="minorEastAsia" w:eastAsiaTheme="minorEastAsia" w:hAnsiTheme="minorEastAsia" w:cs="宋体" w:hint="eastAsia"/>
          <w:kern w:val="0"/>
          <w:sz w:val="24"/>
          <w:szCs w:val="24"/>
        </w:rPr>
        <w:t>单位：人民币万元</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1.贷款业务</w:t>
      </w:r>
    </w:p>
    <w:p w:rsidR="008768CC" w:rsidRDefault="008768CC" w:rsidP="008768CC">
      <w:pPr>
        <w:tabs>
          <w:tab w:val="left" w:pos="916"/>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截至报告期末，本行贷款余额137.08亿元，同比增加1.96亿元，增长1.45</w:t>
      </w:r>
      <w:r>
        <w:rPr>
          <w:rFonts w:asciiTheme="minorEastAsia" w:eastAsiaTheme="minorEastAsia" w:hAnsiTheme="minorEastAsia" w:cs="宋体"/>
          <w:kern w:val="0"/>
          <w:sz w:val="24"/>
          <w:szCs w:val="24"/>
        </w:rPr>
        <w:t>%。</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1）按业务类型划分</w:t>
      </w:r>
    </w:p>
    <w:p w:rsidR="008768CC" w:rsidRDefault="008768CC" w:rsidP="008768CC">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                                              </w:t>
      </w:r>
    </w:p>
    <w:p w:rsidR="008768CC" w:rsidRDefault="008768CC" w:rsidP="008768CC">
      <w:pPr>
        <w:spacing w:line="500" w:lineRule="exact"/>
        <w:ind w:firstLineChars="0" w:firstLine="0"/>
        <w:jc w:val="center"/>
        <w:rPr>
          <w:rFonts w:asciiTheme="minorEastAsia" w:eastAsiaTheme="minorEastAsia" w:hAnsiTheme="minorEastAsia" w:cs="宋体"/>
          <w:kern w:val="0"/>
          <w:sz w:val="24"/>
          <w:szCs w:val="24"/>
        </w:rPr>
      </w:pPr>
    </w:p>
    <w:p w:rsidR="008768CC" w:rsidRDefault="008768CC" w:rsidP="008768CC">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 xml:space="preserve">                                                           </w:t>
      </w:r>
      <w:r>
        <w:rPr>
          <w:rFonts w:asciiTheme="minorEastAsia" w:eastAsiaTheme="minorEastAsia" w:hAnsiTheme="minorEastAsia" w:cs="宋体"/>
          <w:kern w:val="0"/>
          <w:sz w:val="24"/>
          <w:szCs w:val="24"/>
        </w:rPr>
        <w:t>单位：人民币万元</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434"/>
        <w:gridCol w:w="1147"/>
        <w:gridCol w:w="1571"/>
        <w:gridCol w:w="993"/>
        <w:gridCol w:w="1469"/>
        <w:gridCol w:w="1063"/>
      </w:tblGrid>
      <w:tr w:rsidR="008768CC" w:rsidTr="00293A0E">
        <w:trPr>
          <w:trHeight w:val="508"/>
          <w:jc w:val="center"/>
        </w:trPr>
        <w:tc>
          <w:tcPr>
            <w:tcW w:w="1760" w:type="dxa"/>
            <w:vMerge w:val="restart"/>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类别</w:t>
            </w:r>
          </w:p>
        </w:tc>
        <w:tc>
          <w:tcPr>
            <w:tcW w:w="2581" w:type="dxa"/>
            <w:gridSpan w:val="2"/>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w:t>
            </w:r>
            <w:r>
              <w:rPr>
                <w:rFonts w:asciiTheme="minorEastAsia" w:eastAsiaTheme="minorEastAsia" w:hAnsiTheme="minorEastAsia" w:cs="宋体" w:hint="eastAsia"/>
                <w:b/>
                <w:kern w:val="0"/>
                <w:sz w:val="24"/>
                <w:szCs w:val="24"/>
              </w:rPr>
              <w:t>23</w:t>
            </w:r>
            <w:r>
              <w:rPr>
                <w:rFonts w:asciiTheme="minorEastAsia" w:eastAsiaTheme="minorEastAsia" w:hAnsiTheme="minorEastAsia" w:cs="宋体"/>
                <w:b/>
                <w:kern w:val="0"/>
                <w:sz w:val="24"/>
                <w:szCs w:val="24"/>
              </w:rPr>
              <w:t>年</w:t>
            </w:r>
          </w:p>
        </w:tc>
        <w:tc>
          <w:tcPr>
            <w:tcW w:w="2564" w:type="dxa"/>
            <w:gridSpan w:val="2"/>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w:t>
            </w:r>
            <w:r>
              <w:rPr>
                <w:rFonts w:asciiTheme="minorEastAsia" w:eastAsiaTheme="minorEastAsia" w:hAnsiTheme="minorEastAsia" w:cs="宋体" w:hint="eastAsia"/>
                <w:b/>
                <w:kern w:val="0"/>
                <w:sz w:val="24"/>
                <w:szCs w:val="24"/>
              </w:rPr>
              <w:t>22</w:t>
            </w:r>
            <w:r>
              <w:rPr>
                <w:rFonts w:asciiTheme="minorEastAsia" w:eastAsiaTheme="minorEastAsia" w:hAnsiTheme="minorEastAsia" w:cs="宋体"/>
                <w:b/>
                <w:kern w:val="0"/>
                <w:sz w:val="24"/>
                <w:szCs w:val="24"/>
              </w:rPr>
              <w:t>年</w:t>
            </w:r>
          </w:p>
        </w:tc>
        <w:tc>
          <w:tcPr>
            <w:tcW w:w="2532" w:type="dxa"/>
            <w:gridSpan w:val="2"/>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w:t>
            </w:r>
            <w:r>
              <w:rPr>
                <w:rFonts w:asciiTheme="minorEastAsia" w:eastAsiaTheme="minorEastAsia" w:hAnsiTheme="minorEastAsia" w:cs="宋体" w:hint="eastAsia"/>
                <w:b/>
                <w:kern w:val="0"/>
                <w:sz w:val="24"/>
                <w:szCs w:val="24"/>
              </w:rPr>
              <w:t>21</w:t>
            </w:r>
            <w:r>
              <w:rPr>
                <w:rFonts w:asciiTheme="minorEastAsia" w:eastAsiaTheme="minorEastAsia" w:hAnsiTheme="minorEastAsia" w:cs="宋体"/>
                <w:b/>
                <w:kern w:val="0"/>
                <w:sz w:val="24"/>
                <w:szCs w:val="24"/>
              </w:rPr>
              <w:t>年</w:t>
            </w:r>
          </w:p>
        </w:tc>
      </w:tr>
      <w:tr w:rsidR="008768CC" w:rsidTr="00293A0E">
        <w:trPr>
          <w:trHeight w:val="508"/>
          <w:jc w:val="center"/>
        </w:trPr>
        <w:tc>
          <w:tcPr>
            <w:tcW w:w="1760" w:type="dxa"/>
            <w:vMerge/>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p>
        </w:tc>
        <w:tc>
          <w:tcPr>
            <w:tcW w:w="1434" w:type="dxa"/>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1147" w:type="dxa"/>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c>
          <w:tcPr>
            <w:tcW w:w="1571" w:type="dxa"/>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993" w:type="dxa"/>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c>
          <w:tcPr>
            <w:tcW w:w="1469" w:type="dxa"/>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1063" w:type="dxa"/>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r>
      <w:tr w:rsidR="008768CC" w:rsidTr="00293A0E">
        <w:trPr>
          <w:trHeight w:val="508"/>
          <w:jc w:val="center"/>
        </w:trPr>
        <w:tc>
          <w:tcPr>
            <w:tcW w:w="1760" w:type="dxa"/>
            <w:noWrap/>
            <w:vAlign w:val="center"/>
          </w:tcPr>
          <w:p w:rsidR="008768CC" w:rsidRDefault="008768CC" w:rsidP="00293A0E">
            <w:pPr>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公司贷款</w:t>
            </w:r>
          </w:p>
        </w:tc>
        <w:tc>
          <w:tcPr>
            <w:tcW w:w="1434"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158367.05</w:t>
            </w:r>
          </w:p>
        </w:tc>
        <w:tc>
          <w:tcPr>
            <w:tcW w:w="1147"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11.55%</w:t>
            </w:r>
          </w:p>
        </w:tc>
        <w:tc>
          <w:tcPr>
            <w:tcW w:w="1571"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159808.14</w:t>
            </w:r>
          </w:p>
        </w:tc>
        <w:tc>
          <w:tcPr>
            <w:tcW w:w="993" w:type="dxa"/>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11.83</w:t>
            </w:r>
            <w:r>
              <w:rPr>
                <w:rFonts w:asciiTheme="minorEastAsia" w:eastAsiaTheme="minorEastAsia" w:hAnsiTheme="minorEastAsia" w:hint="eastAsia"/>
                <w:sz w:val="24"/>
                <w:szCs w:val="24"/>
              </w:rPr>
              <w:t>%</w:t>
            </w:r>
          </w:p>
        </w:tc>
        <w:tc>
          <w:tcPr>
            <w:tcW w:w="1469"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201166.4</w:t>
            </w:r>
          </w:p>
        </w:tc>
        <w:tc>
          <w:tcPr>
            <w:tcW w:w="1063"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16.15</w:t>
            </w:r>
            <w:r>
              <w:rPr>
                <w:rFonts w:asciiTheme="minorEastAsia" w:eastAsiaTheme="minorEastAsia" w:hAnsiTheme="minorEastAsia" w:hint="eastAsia"/>
                <w:sz w:val="24"/>
                <w:szCs w:val="24"/>
              </w:rPr>
              <w:t>%</w:t>
            </w:r>
          </w:p>
        </w:tc>
      </w:tr>
      <w:tr w:rsidR="008768CC" w:rsidTr="00293A0E">
        <w:trPr>
          <w:trHeight w:val="508"/>
          <w:jc w:val="center"/>
        </w:trPr>
        <w:tc>
          <w:tcPr>
            <w:tcW w:w="1760" w:type="dxa"/>
            <w:noWrap/>
            <w:vAlign w:val="center"/>
          </w:tcPr>
          <w:p w:rsidR="008768CC" w:rsidRDefault="008768CC" w:rsidP="00293A0E">
            <w:pPr>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个人贷款</w:t>
            </w:r>
          </w:p>
        </w:tc>
        <w:tc>
          <w:tcPr>
            <w:tcW w:w="1434"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1055594.13</w:t>
            </w:r>
          </w:p>
        </w:tc>
        <w:tc>
          <w:tcPr>
            <w:tcW w:w="1147"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77.01%</w:t>
            </w:r>
          </w:p>
        </w:tc>
        <w:tc>
          <w:tcPr>
            <w:tcW w:w="1571"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1059903.61</w:t>
            </w:r>
          </w:p>
        </w:tc>
        <w:tc>
          <w:tcPr>
            <w:tcW w:w="993" w:type="dxa"/>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78.44</w:t>
            </w:r>
            <w:r>
              <w:rPr>
                <w:rFonts w:asciiTheme="minorEastAsia" w:eastAsiaTheme="minorEastAsia" w:hAnsiTheme="minorEastAsia" w:hint="eastAsia"/>
                <w:sz w:val="24"/>
                <w:szCs w:val="24"/>
              </w:rPr>
              <w:t>%</w:t>
            </w:r>
          </w:p>
        </w:tc>
        <w:tc>
          <w:tcPr>
            <w:tcW w:w="1469"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977826.67</w:t>
            </w:r>
          </w:p>
        </w:tc>
        <w:tc>
          <w:tcPr>
            <w:tcW w:w="1063" w:type="dxa"/>
            <w:noWrap/>
            <w:vAlign w:val="center"/>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78.5%</w:t>
            </w:r>
          </w:p>
        </w:tc>
      </w:tr>
      <w:tr w:rsidR="008768CC" w:rsidTr="00293A0E">
        <w:trPr>
          <w:trHeight w:val="1006"/>
          <w:jc w:val="center"/>
        </w:trPr>
        <w:tc>
          <w:tcPr>
            <w:tcW w:w="1760" w:type="dxa"/>
            <w:noWrap/>
            <w:vAlign w:val="center"/>
          </w:tcPr>
          <w:p w:rsidR="008768CC" w:rsidRDefault="008768CC" w:rsidP="00293A0E">
            <w:pPr>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票据贴现（含转贴）</w:t>
            </w:r>
          </w:p>
        </w:tc>
        <w:tc>
          <w:tcPr>
            <w:tcW w:w="1434"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156789.06</w:t>
            </w:r>
          </w:p>
        </w:tc>
        <w:tc>
          <w:tcPr>
            <w:tcW w:w="1147"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11.44%</w:t>
            </w:r>
          </w:p>
        </w:tc>
        <w:tc>
          <w:tcPr>
            <w:tcW w:w="1571"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131451.63</w:t>
            </w:r>
          </w:p>
        </w:tc>
        <w:tc>
          <w:tcPr>
            <w:tcW w:w="993" w:type="dxa"/>
            <w:noWrap/>
            <w:vAlign w:val="center"/>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9.73%</w:t>
            </w:r>
          </w:p>
        </w:tc>
        <w:tc>
          <w:tcPr>
            <w:tcW w:w="1469"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66488.56</w:t>
            </w:r>
          </w:p>
        </w:tc>
        <w:tc>
          <w:tcPr>
            <w:tcW w:w="1063" w:type="dxa"/>
            <w:noWrap/>
            <w:vAlign w:val="center"/>
          </w:tcPr>
          <w:p w:rsidR="008768CC" w:rsidRDefault="008768CC" w:rsidP="00293A0E">
            <w:pPr>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5.34%</w:t>
            </w:r>
          </w:p>
        </w:tc>
      </w:tr>
      <w:tr w:rsidR="008768CC" w:rsidTr="00293A0E">
        <w:trPr>
          <w:trHeight w:val="518"/>
          <w:jc w:val="center"/>
        </w:trPr>
        <w:tc>
          <w:tcPr>
            <w:tcW w:w="1760" w:type="dxa"/>
            <w:noWrap/>
            <w:vAlign w:val="center"/>
          </w:tcPr>
          <w:p w:rsidR="008768CC" w:rsidRDefault="008768CC" w:rsidP="00293A0E">
            <w:pPr>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贷款总额</w:t>
            </w:r>
          </w:p>
        </w:tc>
        <w:tc>
          <w:tcPr>
            <w:tcW w:w="1434"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1370750.24</w:t>
            </w:r>
          </w:p>
        </w:tc>
        <w:tc>
          <w:tcPr>
            <w:tcW w:w="1147"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c>
          <w:tcPr>
            <w:tcW w:w="1571"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1351163.38</w:t>
            </w:r>
          </w:p>
        </w:tc>
        <w:tc>
          <w:tcPr>
            <w:tcW w:w="993"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c>
          <w:tcPr>
            <w:tcW w:w="1469"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1245481.63</w:t>
            </w:r>
          </w:p>
        </w:tc>
        <w:tc>
          <w:tcPr>
            <w:tcW w:w="1063" w:type="dxa"/>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100.00</w:t>
            </w:r>
            <w:r>
              <w:rPr>
                <w:rFonts w:asciiTheme="minorEastAsia" w:eastAsiaTheme="minorEastAsia" w:hAnsiTheme="minorEastAsia" w:hint="eastAsia"/>
                <w:sz w:val="24"/>
                <w:szCs w:val="24"/>
              </w:rPr>
              <w:t>%</w:t>
            </w:r>
          </w:p>
        </w:tc>
      </w:tr>
    </w:tbl>
    <w:p w:rsidR="008768CC" w:rsidRDefault="008768CC" w:rsidP="008768CC">
      <w:pPr>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fldChar w:fldCharType="begin"/>
      </w:r>
      <w:r>
        <w:rPr>
          <w:rFonts w:asciiTheme="minorEastAsia" w:eastAsiaTheme="minorEastAsia" w:hAnsiTheme="minorEastAsia" w:cs="宋体"/>
          <w:kern w:val="0"/>
          <w:sz w:val="24"/>
          <w:szCs w:val="24"/>
        </w:rPr>
        <w:instrText xml:space="preserve"> </w:instrText>
      </w:r>
      <w:r>
        <w:rPr>
          <w:rFonts w:asciiTheme="minorEastAsia" w:eastAsiaTheme="minorEastAsia" w:hAnsiTheme="minorEastAsia" w:cs="宋体" w:hint="eastAsia"/>
          <w:kern w:val="0"/>
          <w:sz w:val="24"/>
          <w:szCs w:val="24"/>
        </w:rPr>
        <w:instrText>= 1 \* GB3</w:instrText>
      </w:r>
      <w:r>
        <w:rPr>
          <w:rFonts w:asciiTheme="minorEastAsia" w:eastAsiaTheme="minorEastAsia" w:hAnsiTheme="minorEastAsia" w:cs="宋体"/>
          <w:kern w:val="0"/>
          <w:sz w:val="24"/>
          <w:szCs w:val="24"/>
        </w:rPr>
        <w:instrText xml:space="preserve"> </w:instrText>
      </w:r>
      <w:r>
        <w:rPr>
          <w:rFonts w:asciiTheme="minorEastAsia" w:eastAsiaTheme="minorEastAsia" w:hAnsiTheme="minorEastAsia" w:cs="宋体"/>
          <w:kern w:val="0"/>
          <w:sz w:val="24"/>
          <w:szCs w:val="24"/>
        </w:rPr>
        <w:fldChar w:fldCharType="separate"/>
      </w:r>
      <w:r>
        <w:rPr>
          <w:rFonts w:asciiTheme="minorEastAsia" w:eastAsiaTheme="minorEastAsia" w:hAnsiTheme="minorEastAsia" w:cs="宋体" w:hint="eastAsia"/>
          <w:kern w:val="0"/>
          <w:sz w:val="24"/>
          <w:szCs w:val="24"/>
        </w:rPr>
        <w:t>①</w:t>
      </w:r>
      <w:r>
        <w:rPr>
          <w:rFonts w:asciiTheme="minorEastAsia" w:eastAsiaTheme="minorEastAsia" w:hAnsiTheme="minorEastAsia" w:cs="宋体"/>
          <w:kern w:val="0"/>
          <w:sz w:val="24"/>
          <w:szCs w:val="24"/>
        </w:rPr>
        <w:fldChar w:fldCharType="end"/>
      </w:r>
      <w:r>
        <w:rPr>
          <w:rFonts w:asciiTheme="minorEastAsia" w:eastAsiaTheme="minorEastAsia" w:hAnsiTheme="minorEastAsia" w:cs="宋体" w:hint="eastAsia"/>
          <w:kern w:val="0"/>
          <w:sz w:val="24"/>
          <w:szCs w:val="24"/>
        </w:rPr>
        <w:t>公司贷款</w:t>
      </w:r>
    </w:p>
    <w:p w:rsidR="008768CC" w:rsidRDefault="008768CC" w:rsidP="008768CC">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截至报告期末，本行公司贷款余额</w:t>
      </w:r>
      <w:r>
        <w:rPr>
          <w:rFonts w:asciiTheme="minorEastAsia" w:eastAsiaTheme="minorEastAsia" w:hAnsiTheme="minorEastAsia" w:cs="宋体" w:hint="eastAsia"/>
          <w:kern w:val="0"/>
          <w:sz w:val="24"/>
          <w:szCs w:val="24"/>
        </w:rPr>
        <w:t>15.84亿元，同比减少0.14亿元，降幅0.9%，占当年客户贷款总额的11.55</w:t>
      </w:r>
      <w:r>
        <w:rPr>
          <w:rFonts w:asciiTheme="minorEastAsia" w:eastAsiaTheme="minorEastAsia" w:hAnsiTheme="minorEastAsia" w:cs="宋体"/>
          <w:kern w:val="0"/>
          <w:sz w:val="24"/>
          <w:szCs w:val="24"/>
        </w:rPr>
        <w:t>%。本行遵循金融服务实体经济政策导向，资本资源优先满足贷款业务发展需要，报告期内，</w:t>
      </w:r>
      <w:r>
        <w:rPr>
          <w:rFonts w:asciiTheme="minorEastAsia" w:eastAsiaTheme="minorEastAsia" w:hAnsiTheme="minorEastAsia" w:cs="宋体" w:hint="eastAsia"/>
          <w:kern w:val="0"/>
          <w:sz w:val="24"/>
          <w:szCs w:val="24"/>
        </w:rPr>
        <w:t>本行</w:t>
      </w:r>
      <w:r>
        <w:rPr>
          <w:rFonts w:asciiTheme="minorEastAsia" w:eastAsiaTheme="minorEastAsia" w:hAnsiTheme="minorEastAsia" w:cs="宋体"/>
          <w:kern w:val="0"/>
          <w:sz w:val="24"/>
          <w:szCs w:val="24"/>
        </w:rPr>
        <w:t>贷款业务加快向大零售转型，重点发放以个体工商户及小微企业主作为贷款主体的支小支微贷款，因此公司贷款余额有所下降。</w:t>
      </w:r>
    </w:p>
    <w:p w:rsidR="008768CC" w:rsidRDefault="008768CC" w:rsidP="008768CC">
      <w:pPr>
        <w:tabs>
          <w:tab w:val="left" w:pos="1134"/>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fldChar w:fldCharType="begin"/>
      </w:r>
      <w:r>
        <w:rPr>
          <w:rFonts w:asciiTheme="minorEastAsia" w:eastAsiaTheme="minorEastAsia" w:hAnsiTheme="minorEastAsia" w:cs="宋体"/>
          <w:kern w:val="0"/>
          <w:sz w:val="24"/>
          <w:szCs w:val="24"/>
        </w:rPr>
        <w:instrText xml:space="preserve"> </w:instrText>
      </w:r>
      <w:r>
        <w:rPr>
          <w:rFonts w:asciiTheme="minorEastAsia" w:eastAsiaTheme="minorEastAsia" w:hAnsiTheme="minorEastAsia" w:cs="宋体" w:hint="eastAsia"/>
          <w:kern w:val="0"/>
          <w:sz w:val="24"/>
          <w:szCs w:val="24"/>
        </w:rPr>
        <w:instrText>= 2 \* GB3</w:instrText>
      </w:r>
      <w:r>
        <w:rPr>
          <w:rFonts w:asciiTheme="minorEastAsia" w:eastAsiaTheme="minorEastAsia" w:hAnsiTheme="minorEastAsia" w:cs="宋体"/>
          <w:kern w:val="0"/>
          <w:sz w:val="24"/>
          <w:szCs w:val="24"/>
        </w:rPr>
        <w:instrText xml:space="preserve"> </w:instrText>
      </w:r>
      <w:r>
        <w:rPr>
          <w:rFonts w:asciiTheme="minorEastAsia" w:eastAsiaTheme="minorEastAsia" w:hAnsiTheme="minorEastAsia" w:cs="宋体"/>
          <w:kern w:val="0"/>
          <w:sz w:val="24"/>
          <w:szCs w:val="24"/>
        </w:rPr>
        <w:fldChar w:fldCharType="separate"/>
      </w:r>
      <w:r>
        <w:rPr>
          <w:rFonts w:asciiTheme="minorEastAsia" w:eastAsiaTheme="minorEastAsia" w:hAnsiTheme="minorEastAsia" w:cs="宋体" w:hint="eastAsia"/>
          <w:kern w:val="0"/>
          <w:sz w:val="24"/>
          <w:szCs w:val="24"/>
        </w:rPr>
        <w:t>②</w:t>
      </w:r>
      <w:r>
        <w:rPr>
          <w:rFonts w:asciiTheme="minorEastAsia" w:eastAsiaTheme="minorEastAsia" w:hAnsiTheme="minorEastAsia" w:cs="宋体"/>
          <w:kern w:val="0"/>
          <w:sz w:val="24"/>
          <w:szCs w:val="24"/>
        </w:rPr>
        <w:fldChar w:fldCharType="end"/>
      </w:r>
      <w:r>
        <w:rPr>
          <w:rFonts w:asciiTheme="minorEastAsia" w:eastAsiaTheme="minorEastAsia" w:hAnsiTheme="minorEastAsia" w:cs="宋体" w:hint="eastAsia"/>
          <w:kern w:val="0"/>
          <w:sz w:val="24"/>
          <w:szCs w:val="24"/>
        </w:rPr>
        <w:t>个人贷款</w:t>
      </w:r>
    </w:p>
    <w:p w:rsidR="008768CC" w:rsidRDefault="008768CC" w:rsidP="008768CC">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截至报告期末，本行个人贷款余额105.56亿元，同比减少0.43亿元，降幅0.41%，占当年客户贷款77.01%。报告期内，受本地住房刚性需求影响，个人消费的融资需求有所减少，同时本行加大对小</w:t>
      </w:r>
      <w:proofErr w:type="gramStart"/>
      <w:r>
        <w:rPr>
          <w:rFonts w:asciiTheme="minorEastAsia" w:eastAsiaTheme="minorEastAsia" w:hAnsiTheme="minorEastAsia" w:cs="宋体" w:hint="eastAsia"/>
          <w:kern w:val="0"/>
          <w:sz w:val="24"/>
          <w:szCs w:val="24"/>
        </w:rPr>
        <w:t>微企业</w:t>
      </w:r>
      <w:proofErr w:type="gramEnd"/>
      <w:r>
        <w:rPr>
          <w:rFonts w:asciiTheme="minorEastAsia" w:eastAsiaTheme="minorEastAsia" w:hAnsiTheme="minorEastAsia" w:cs="宋体" w:hint="eastAsia"/>
          <w:kern w:val="0"/>
          <w:sz w:val="24"/>
          <w:szCs w:val="24"/>
        </w:rPr>
        <w:t>的支持力度，个体工商户、企业主等个人经营性贷款也实现较快增长。</w:t>
      </w:r>
    </w:p>
    <w:p w:rsidR="008768CC" w:rsidRDefault="008768CC" w:rsidP="008768CC">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2）按行业类型划分</w:t>
      </w:r>
    </w:p>
    <w:p w:rsidR="008768CC" w:rsidRDefault="008768CC" w:rsidP="008768CC">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在贷款行业投放方面，本行认真落实省联社相关</w:t>
      </w:r>
      <w:r>
        <w:rPr>
          <w:rFonts w:asciiTheme="minorEastAsia" w:eastAsiaTheme="minorEastAsia" w:hAnsiTheme="minorEastAsia" w:cs="宋体"/>
          <w:kern w:val="0"/>
          <w:sz w:val="24"/>
          <w:szCs w:val="24"/>
        </w:rPr>
        <w:t>工作会议精神，坚持稳中求进抓好转型发展，</w:t>
      </w:r>
      <w:r>
        <w:rPr>
          <w:rFonts w:asciiTheme="minorEastAsia" w:eastAsiaTheme="minorEastAsia" w:hAnsiTheme="minorEastAsia" w:cs="宋体" w:hint="eastAsia"/>
          <w:kern w:val="0"/>
          <w:sz w:val="24"/>
          <w:szCs w:val="24"/>
        </w:rPr>
        <w:t>不断</w:t>
      </w:r>
      <w:r>
        <w:rPr>
          <w:rFonts w:asciiTheme="minorEastAsia" w:eastAsiaTheme="minorEastAsia" w:hAnsiTheme="minorEastAsia" w:cs="宋体"/>
          <w:kern w:val="0"/>
          <w:sz w:val="24"/>
          <w:szCs w:val="24"/>
        </w:rPr>
        <w:t>推</w:t>
      </w:r>
      <w:r>
        <w:rPr>
          <w:rFonts w:asciiTheme="minorEastAsia" w:eastAsiaTheme="minorEastAsia" w:hAnsiTheme="minorEastAsia" w:cs="宋体" w:hint="eastAsia"/>
          <w:kern w:val="0"/>
          <w:sz w:val="24"/>
          <w:szCs w:val="24"/>
        </w:rPr>
        <w:t>进</w:t>
      </w:r>
      <w:r>
        <w:rPr>
          <w:rFonts w:asciiTheme="minorEastAsia" w:eastAsiaTheme="minorEastAsia" w:hAnsiTheme="minorEastAsia" w:cs="宋体"/>
          <w:kern w:val="0"/>
          <w:sz w:val="24"/>
          <w:szCs w:val="24"/>
        </w:rPr>
        <w:t>乡村振兴战略以及支持地方实体经济发展</w:t>
      </w: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spacing w:val="-10"/>
          <w:kern w:val="0"/>
          <w:sz w:val="24"/>
          <w:szCs w:val="24"/>
        </w:rPr>
        <w:t>深入推进农业供给侧结构性改革，着力振兴实体经济，进一步优化信贷结构。</w:t>
      </w:r>
    </w:p>
    <w:p w:rsidR="008768CC" w:rsidRDefault="008768CC" w:rsidP="008768CC">
      <w:pPr>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spacing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spacing w:line="5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单位：人民币万元</w:t>
      </w:r>
    </w:p>
    <w:tbl>
      <w:tblPr>
        <w:tblW w:w="4999" w:type="pct"/>
        <w:jc w:val="center"/>
        <w:tblLook w:val="04A0" w:firstRow="1" w:lastRow="0" w:firstColumn="1" w:lastColumn="0" w:noHBand="0" w:noVBand="1"/>
      </w:tblPr>
      <w:tblGrid>
        <w:gridCol w:w="3258"/>
        <w:gridCol w:w="1167"/>
        <w:gridCol w:w="786"/>
        <w:gridCol w:w="1167"/>
        <w:gridCol w:w="786"/>
        <w:gridCol w:w="1167"/>
        <w:gridCol w:w="786"/>
      </w:tblGrid>
      <w:tr w:rsidR="008768CC" w:rsidTr="00293A0E">
        <w:trPr>
          <w:trHeight w:val="340"/>
          <w:jc w:val="center"/>
        </w:trPr>
        <w:tc>
          <w:tcPr>
            <w:tcW w:w="1359" w:type="pct"/>
            <w:vMerge w:val="restart"/>
            <w:tcBorders>
              <w:top w:val="single" w:sz="8" w:space="0" w:color="auto"/>
              <w:left w:val="single" w:sz="8" w:space="0" w:color="auto"/>
              <w:bottom w:val="single" w:sz="8" w:space="0" w:color="000000"/>
              <w:right w:val="single" w:sz="8" w:space="0" w:color="auto"/>
            </w:tcBorders>
            <w:noWrap/>
            <w:vAlign w:val="center"/>
          </w:tcPr>
          <w:p w:rsidR="008768CC" w:rsidRDefault="008768CC" w:rsidP="00293A0E">
            <w:pPr>
              <w:spacing w:line="46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行业</w:t>
            </w:r>
          </w:p>
        </w:tc>
        <w:tc>
          <w:tcPr>
            <w:tcW w:w="1121" w:type="pct"/>
            <w:gridSpan w:val="2"/>
            <w:tcBorders>
              <w:top w:val="single" w:sz="8" w:space="0" w:color="auto"/>
              <w:left w:val="nil"/>
              <w:bottom w:val="single" w:sz="8" w:space="0" w:color="auto"/>
              <w:right w:val="single" w:sz="8" w:space="0" w:color="000000"/>
            </w:tcBorders>
            <w:noWrap/>
            <w:vAlign w:val="center"/>
          </w:tcPr>
          <w:p w:rsidR="008768CC" w:rsidRDefault="008768CC" w:rsidP="00293A0E">
            <w:pPr>
              <w:spacing w:line="46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t>20</w:t>
            </w:r>
            <w:r>
              <w:rPr>
                <w:rFonts w:asciiTheme="minorEastAsia" w:eastAsiaTheme="minorEastAsia" w:hAnsiTheme="minorEastAsia" w:cs="宋体" w:hint="eastAsia"/>
                <w:b/>
                <w:bCs/>
                <w:kern w:val="0"/>
                <w:sz w:val="24"/>
                <w:szCs w:val="24"/>
              </w:rPr>
              <w:t>23</w:t>
            </w:r>
            <w:r>
              <w:rPr>
                <w:rFonts w:asciiTheme="minorEastAsia" w:eastAsiaTheme="minorEastAsia" w:hAnsiTheme="minorEastAsia" w:cs="宋体"/>
                <w:b/>
                <w:bCs/>
                <w:kern w:val="0"/>
                <w:sz w:val="24"/>
                <w:szCs w:val="24"/>
              </w:rPr>
              <w:t>年</w:t>
            </w:r>
          </w:p>
        </w:tc>
        <w:tc>
          <w:tcPr>
            <w:tcW w:w="1259" w:type="pct"/>
            <w:gridSpan w:val="2"/>
            <w:tcBorders>
              <w:top w:val="single" w:sz="8" w:space="0" w:color="auto"/>
              <w:left w:val="nil"/>
              <w:bottom w:val="single" w:sz="8" w:space="0" w:color="auto"/>
              <w:right w:val="single" w:sz="8" w:space="0" w:color="000000"/>
            </w:tcBorders>
            <w:noWrap/>
            <w:vAlign w:val="center"/>
          </w:tcPr>
          <w:p w:rsidR="008768CC" w:rsidRDefault="008768CC" w:rsidP="00293A0E">
            <w:pPr>
              <w:spacing w:line="46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t>20</w:t>
            </w:r>
            <w:r>
              <w:rPr>
                <w:rFonts w:asciiTheme="minorEastAsia" w:eastAsiaTheme="minorEastAsia" w:hAnsiTheme="minorEastAsia" w:cs="宋体" w:hint="eastAsia"/>
                <w:b/>
                <w:bCs/>
                <w:kern w:val="0"/>
                <w:sz w:val="24"/>
                <w:szCs w:val="24"/>
              </w:rPr>
              <w:t>22</w:t>
            </w:r>
            <w:r>
              <w:rPr>
                <w:rFonts w:asciiTheme="minorEastAsia" w:eastAsiaTheme="minorEastAsia" w:hAnsiTheme="minorEastAsia" w:cs="宋体"/>
                <w:b/>
                <w:bCs/>
                <w:kern w:val="0"/>
                <w:sz w:val="24"/>
                <w:szCs w:val="24"/>
              </w:rPr>
              <w:t>年</w:t>
            </w:r>
          </w:p>
        </w:tc>
        <w:tc>
          <w:tcPr>
            <w:tcW w:w="1259" w:type="pct"/>
            <w:gridSpan w:val="2"/>
            <w:tcBorders>
              <w:top w:val="single" w:sz="8" w:space="0" w:color="auto"/>
              <w:left w:val="nil"/>
              <w:bottom w:val="single" w:sz="8" w:space="0" w:color="auto"/>
              <w:right w:val="single" w:sz="8" w:space="0" w:color="000000"/>
            </w:tcBorders>
            <w:noWrap/>
            <w:vAlign w:val="center"/>
          </w:tcPr>
          <w:p w:rsidR="008768CC" w:rsidRDefault="008768CC" w:rsidP="00293A0E">
            <w:pPr>
              <w:spacing w:line="46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t>20</w:t>
            </w:r>
            <w:r>
              <w:rPr>
                <w:rFonts w:asciiTheme="minorEastAsia" w:eastAsiaTheme="minorEastAsia" w:hAnsiTheme="minorEastAsia" w:cs="宋体" w:hint="eastAsia"/>
                <w:b/>
                <w:bCs/>
                <w:kern w:val="0"/>
                <w:sz w:val="24"/>
                <w:szCs w:val="24"/>
              </w:rPr>
              <w:t>21</w:t>
            </w:r>
            <w:r>
              <w:rPr>
                <w:rFonts w:asciiTheme="minorEastAsia" w:eastAsiaTheme="minorEastAsia" w:hAnsiTheme="minorEastAsia" w:cs="宋体"/>
                <w:b/>
                <w:bCs/>
                <w:kern w:val="0"/>
                <w:sz w:val="24"/>
                <w:szCs w:val="24"/>
              </w:rPr>
              <w:t>年</w:t>
            </w:r>
          </w:p>
        </w:tc>
      </w:tr>
      <w:tr w:rsidR="008768CC" w:rsidTr="00293A0E">
        <w:trPr>
          <w:trHeight w:val="340"/>
          <w:jc w:val="center"/>
        </w:trPr>
        <w:tc>
          <w:tcPr>
            <w:tcW w:w="1359" w:type="pct"/>
            <w:vMerge/>
            <w:tcBorders>
              <w:top w:val="single" w:sz="8" w:space="0" w:color="auto"/>
              <w:left w:val="single" w:sz="8" w:space="0" w:color="auto"/>
              <w:bottom w:val="single" w:sz="8" w:space="0" w:color="000000"/>
              <w:right w:val="single" w:sz="8" w:space="0" w:color="auto"/>
            </w:tcBorders>
            <w:vAlign w:val="center"/>
          </w:tcPr>
          <w:p w:rsidR="008768CC" w:rsidRDefault="008768CC" w:rsidP="00293A0E">
            <w:pPr>
              <w:spacing w:line="460" w:lineRule="exact"/>
              <w:ind w:firstLineChars="0" w:firstLine="0"/>
              <w:jc w:val="center"/>
              <w:rPr>
                <w:rFonts w:asciiTheme="minorEastAsia" w:eastAsiaTheme="minorEastAsia" w:hAnsiTheme="minorEastAsia" w:cs="宋体"/>
                <w:b/>
                <w:bCs/>
                <w:kern w:val="0"/>
                <w:sz w:val="24"/>
                <w:szCs w:val="24"/>
              </w:rPr>
            </w:pPr>
          </w:p>
        </w:tc>
        <w:tc>
          <w:tcPr>
            <w:tcW w:w="674" w:type="pct"/>
            <w:tcBorders>
              <w:top w:val="nil"/>
              <w:left w:val="nil"/>
              <w:bottom w:val="single" w:sz="8" w:space="0" w:color="auto"/>
              <w:right w:val="single" w:sz="8" w:space="0" w:color="auto"/>
            </w:tcBorders>
            <w:noWrap/>
            <w:vAlign w:val="center"/>
          </w:tcPr>
          <w:p w:rsidR="008768CC" w:rsidRDefault="008768CC" w:rsidP="00293A0E">
            <w:pPr>
              <w:spacing w:line="46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金额</w:t>
            </w:r>
          </w:p>
        </w:tc>
        <w:tc>
          <w:tcPr>
            <w:tcW w:w="446" w:type="pct"/>
            <w:tcBorders>
              <w:top w:val="nil"/>
              <w:left w:val="nil"/>
              <w:bottom w:val="single" w:sz="8" w:space="0" w:color="auto"/>
              <w:right w:val="single" w:sz="8" w:space="0" w:color="auto"/>
            </w:tcBorders>
            <w:noWrap/>
            <w:vAlign w:val="center"/>
          </w:tcPr>
          <w:p w:rsidR="008768CC" w:rsidRDefault="008768CC" w:rsidP="00293A0E">
            <w:pPr>
              <w:spacing w:line="46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占比</w:t>
            </w:r>
          </w:p>
        </w:tc>
        <w:tc>
          <w:tcPr>
            <w:tcW w:w="674" w:type="pct"/>
            <w:tcBorders>
              <w:top w:val="nil"/>
              <w:left w:val="nil"/>
              <w:bottom w:val="single" w:sz="8" w:space="0" w:color="auto"/>
              <w:right w:val="single" w:sz="8" w:space="0" w:color="auto"/>
            </w:tcBorders>
            <w:noWrap/>
            <w:vAlign w:val="center"/>
          </w:tcPr>
          <w:p w:rsidR="008768CC" w:rsidRDefault="008768CC" w:rsidP="00293A0E">
            <w:pPr>
              <w:spacing w:line="46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金额</w:t>
            </w:r>
          </w:p>
        </w:tc>
        <w:tc>
          <w:tcPr>
            <w:tcW w:w="585" w:type="pct"/>
            <w:tcBorders>
              <w:top w:val="nil"/>
              <w:left w:val="nil"/>
              <w:bottom w:val="single" w:sz="8" w:space="0" w:color="auto"/>
              <w:right w:val="single" w:sz="8" w:space="0" w:color="auto"/>
            </w:tcBorders>
            <w:noWrap/>
            <w:vAlign w:val="center"/>
          </w:tcPr>
          <w:p w:rsidR="008768CC" w:rsidRDefault="008768CC" w:rsidP="00293A0E">
            <w:pPr>
              <w:spacing w:line="46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占比</w:t>
            </w:r>
          </w:p>
        </w:tc>
        <w:tc>
          <w:tcPr>
            <w:tcW w:w="674" w:type="pct"/>
            <w:tcBorders>
              <w:top w:val="nil"/>
              <w:left w:val="nil"/>
              <w:bottom w:val="single" w:sz="8" w:space="0" w:color="auto"/>
              <w:right w:val="single" w:sz="8" w:space="0" w:color="auto"/>
            </w:tcBorders>
            <w:noWrap/>
            <w:vAlign w:val="center"/>
          </w:tcPr>
          <w:p w:rsidR="008768CC" w:rsidRDefault="008768CC" w:rsidP="00293A0E">
            <w:pPr>
              <w:spacing w:line="46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金额</w:t>
            </w:r>
          </w:p>
        </w:tc>
        <w:tc>
          <w:tcPr>
            <w:tcW w:w="585" w:type="pct"/>
            <w:tcBorders>
              <w:top w:val="nil"/>
              <w:left w:val="nil"/>
              <w:bottom w:val="single" w:sz="8" w:space="0" w:color="auto"/>
              <w:right w:val="single" w:sz="8" w:space="0" w:color="auto"/>
            </w:tcBorders>
            <w:noWrap/>
            <w:vAlign w:val="center"/>
          </w:tcPr>
          <w:p w:rsidR="008768CC" w:rsidRDefault="008768CC" w:rsidP="00293A0E">
            <w:pPr>
              <w:spacing w:line="46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占比</w:t>
            </w:r>
          </w:p>
        </w:tc>
      </w:tr>
      <w:tr w:rsidR="008768CC" w:rsidTr="00293A0E">
        <w:trPr>
          <w:trHeight w:val="340"/>
          <w:jc w:val="center"/>
        </w:trPr>
        <w:tc>
          <w:tcPr>
            <w:tcW w:w="1359" w:type="pct"/>
            <w:tcBorders>
              <w:top w:val="nil"/>
              <w:left w:val="single" w:sz="8" w:space="0" w:color="auto"/>
              <w:bottom w:val="single" w:sz="8" w:space="0" w:color="auto"/>
              <w:right w:val="single" w:sz="8" w:space="0" w:color="auto"/>
            </w:tcBorders>
            <w:noWrap/>
            <w:vAlign w:val="center"/>
          </w:tcPr>
          <w:p w:rsidR="008768CC" w:rsidRDefault="008768CC" w:rsidP="00293A0E">
            <w:pPr>
              <w:spacing w:line="46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对公贷款</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158367.0</w:t>
            </w:r>
            <w:r>
              <w:rPr>
                <w:rFonts w:asciiTheme="minorEastAsia" w:eastAsiaTheme="minorEastAsia" w:hAnsiTheme="minorEastAsia" w:cstheme="minorBidi" w:hint="eastAsia"/>
                <w:sz w:val="24"/>
                <w:szCs w:val="24"/>
              </w:rPr>
              <w:t>5</w:t>
            </w:r>
          </w:p>
        </w:tc>
        <w:tc>
          <w:tcPr>
            <w:tcW w:w="446"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11.55%</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159808.14</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11.83%</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201166.40</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16.15%</w:t>
            </w:r>
          </w:p>
        </w:tc>
      </w:tr>
      <w:tr w:rsidR="008768CC" w:rsidTr="00293A0E">
        <w:trPr>
          <w:trHeight w:val="340"/>
          <w:jc w:val="center"/>
        </w:trPr>
        <w:tc>
          <w:tcPr>
            <w:tcW w:w="1359" w:type="pct"/>
            <w:tcBorders>
              <w:top w:val="nil"/>
              <w:left w:val="single" w:sz="8" w:space="0" w:color="auto"/>
              <w:bottom w:val="single" w:sz="8" w:space="0" w:color="auto"/>
              <w:right w:val="single" w:sz="8" w:space="0" w:color="auto"/>
            </w:tcBorders>
            <w:noWrap/>
            <w:vAlign w:val="center"/>
          </w:tcPr>
          <w:p w:rsidR="008768CC" w:rsidRDefault="008768CC" w:rsidP="00293A0E">
            <w:pPr>
              <w:spacing w:line="46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批发和零售业</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30119.8</w:t>
            </w:r>
          </w:p>
        </w:tc>
        <w:tc>
          <w:tcPr>
            <w:tcW w:w="446"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2.2</w:t>
            </w:r>
            <w:r>
              <w:rPr>
                <w:rFonts w:asciiTheme="minorEastAsia" w:eastAsiaTheme="minorEastAsia" w:hAnsiTheme="minorEastAsia" w:cstheme="minorBidi" w:hint="eastAsia"/>
                <w:sz w:val="24"/>
                <w:szCs w:val="24"/>
              </w:rPr>
              <w:t>%</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43064.12</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3.2%</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71547</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5.75%</w:t>
            </w:r>
          </w:p>
        </w:tc>
      </w:tr>
      <w:tr w:rsidR="008768CC" w:rsidTr="00293A0E">
        <w:trPr>
          <w:trHeight w:val="340"/>
          <w:jc w:val="center"/>
        </w:trPr>
        <w:tc>
          <w:tcPr>
            <w:tcW w:w="1359" w:type="pct"/>
            <w:tcBorders>
              <w:top w:val="nil"/>
              <w:left w:val="single" w:sz="8" w:space="0" w:color="auto"/>
              <w:bottom w:val="single" w:sz="8" w:space="0" w:color="auto"/>
              <w:right w:val="single" w:sz="8" w:space="0" w:color="auto"/>
            </w:tcBorders>
            <w:noWrap/>
            <w:vAlign w:val="center"/>
          </w:tcPr>
          <w:p w:rsidR="008768CC" w:rsidRDefault="008768CC" w:rsidP="00293A0E">
            <w:pPr>
              <w:spacing w:line="46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制造业</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38743</w:t>
            </w:r>
          </w:p>
        </w:tc>
        <w:tc>
          <w:tcPr>
            <w:tcW w:w="446"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w:t>
            </w:r>
            <w:r>
              <w:rPr>
                <w:rFonts w:asciiTheme="minorEastAsia" w:eastAsiaTheme="minorEastAsia" w:hAnsiTheme="minorEastAsia" w:cstheme="minorBidi" w:hint="eastAsia"/>
                <w:sz w:val="24"/>
                <w:szCs w:val="24"/>
              </w:rPr>
              <w:t>82%</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36250</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2.68%</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37393</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3%</w:t>
            </w:r>
          </w:p>
        </w:tc>
      </w:tr>
      <w:tr w:rsidR="008768CC" w:rsidTr="00293A0E">
        <w:trPr>
          <w:trHeight w:val="340"/>
          <w:jc w:val="center"/>
        </w:trPr>
        <w:tc>
          <w:tcPr>
            <w:tcW w:w="1359" w:type="pct"/>
            <w:tcBorders>
              <w:top w:val="nil"/>
              <w:left w:val="single" w:sz="8" w:space="0" w:color="auto"/>
              <w:bottom w:val="single" w:sz="8" w:space="0" w:color="auto"/>
              <w:right w:val="single" w:sz="8" w:space="0" w:color="auto"/>
            </w:tcBorders>
            <w:noWrap/>
            <w:vAlign w:val="center"/>
          </w:tcPr>
          <w:p w:rsidR="008768CC" w:rsidRDefault="008768CC" w:rsidP="00293A0E">
            <w:pPr>
              <w:spacing w:line="46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房地产业</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4870</w:t>
            </w:r>
          </w:p>
        </w:tc>
        <w:tc>
          <w:tcPr>
            <w:tcW w:w="446"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0.36</w:t>
            </w:r>
            <w:r>
              <w:rPr>
                <w:rFonts w:asciiTheme="minorEastAsia" w:eastAsiaTheme="minorEastAsia" w:hAnsiTheme="minorEastAsia" w:cstheme="minorBidi" w:hint="eastAsia"/>
                <w:sz w:val="24"/>
                <w:szCs w:val="24"/>
              </w:rPr>
              <w:t>%</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w:t>
            </w:r>
          </w:p>
        </w:tc>
      </w:tr>
      <w:tr w:rsidR="008768CC" w:rsidTr="00293A0E">
        <w:trPr>
          <w:trHeight w:val="340"/>
          <w:jc w:val="center"/>
        </w:trPr>
        <w:tc>
          <w:tcPr>
            <w:tcW w:w="1359" w:type="pct"/>
            <w:tcBorders>
              <w:top w:val="nil"/>
              <w:left w:val="single" w:sz="8" w:space="0" w:color="auto"/>
              <w:bottom w:val="single" w:sz="8" w:space="0" w:color="auto"/>
              <w:right w:val="single" w:sz="8" w:space="0" w:color="auto"/>
            </w:tcBorders>
            <w:noWrap/>
            <w:vAlign w:val="center"/>
          </w:tcPr>
          <w:p w:rsidR="008768CC" w:rsidRDefault="008768CC" w:rsidP="00293A0E">
            <w:pPr>
              <w:spacing w:line="46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建筑业</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22067.9</w:t>
            </w:r>
          </w:p>
        </w:tc>
        <w:tc>
          <w:tcPr>
            <w:tcW w:w="446"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1.61</w:t>
            </w:r>
            <w:r>
              <w:rPr>
                <w:rFonts w:asciiTheme="minorEastAsia" w:eastAsiaTheme="minorEastAsia" w:hAnsiTheme="minorEastAsia" w:cstheme="minorBidi" w:hint="eastAsia"/>
                <w:sz w:val="24"/>
                <w:szCs w:val="24"/>
              </w:rPr>
              <w:t>%</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30142</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2.23%</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38114</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3.06%</w:t>
            </w:r>
          </w:p>
        </w:tc>
      </w:tr>
      <w:tr w:rsidR="008768CC" w:rsidTr="00293A0E">
        <w:trPr>
          <w:trHeight w:val="340"/>
          <w:jc w:val="center"/>
        </w:trPr>
        <w:tc>
          <w:tcPr>
            <w:tcW w:w="1359" w:type="pct"/>
            <w:tcBorders>
              <w:top w:val="nil"/>
              <w:left w:val="single" w:sz="8" w:space="0" w:color="auto"/>
              <w:bottom w:val="single" w:sz="8" w:space="0" w:color="auto"/>
              <w:right w:val="single" w:sz="8" w:space="0" w:color="auto"/>
            </w:tcBorders>
            <w:noWrap/>
            <w:vAlign w:val="center"/>
          </w:tcPr>
          <w:p w:rsidR="008768CC" w:rsidRDefault="008768CC" w:rsidP="00293A0E">
            <w:pPr>
              <w:spacing w:line="46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住宿和餐饮业</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21068.8</w:t>
            </w:r>
          </w:p>
        </w:tc>
        <w:tc>
          <w:tcPr>
            <w:tcW w:w="446"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1.54</w:t>
            </w:r>
            <w:r>
              <w:rPr>
                <w:rFonts w:asciiTheme="minorEastAsia" w:eastAsiaTheme="minorEastAsia" w:hAnsiTheme="minorEastAsia" w:cstheme="minorBidi" w:hint="eastAsia"/>
                <w:sz w:val="24"/>
                <w:szCs w:val="24"/>
              </w:rPr>
              <w:t>%</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24080</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1.78%</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23270</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1.87%</w:t>
            </w:r>
          </w:p>
        </w:tc>
      </w:tr>
      <w:tr w:rsidR="008768CC" w:rsidTr="00293A0E">
        <w:trPr>
          <w:trHeight w:val="340"/>
          <w:jc w:val="center"/>
        </w:trPr>
        <w:tc>
          <w:tcPr>
            <w:tcW w:w="1359" w:type="pct"/>
            <w:tcBorders>
              <w:top w:val="nil"/>
              <w:left w:val="single" w:sz="8" w:space="0" w:color="auto"/>
              <w:bottom w:val="single" w:sz="8" w:space="0" w:color="auto"/>
              <w:right w:val="single" w:sz="8" w:space="0" w:color="auto"/>
            </w:tcBorders>
            <w:noWrap/>
            <w:vAlign w:val="center"/>
          </w:tcPr>
          <w:p w:rsidR="008768CC" w:rsidRDefault="008768CC" w:rsidP="00293A0E">
            <w:pPr>
              <w:spacing w:line="46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农、林、牧、渔业</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12379.94</w:t>
            </w:r>
          </w:p>
        </w:tc>
        <w:tc>
          <w:tcPr>
            <w:tcW w:w="446"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0.9</w:t>
            </w:r>
            <w:r>
              <w:rPr>
                <w:rFonts w:asciiTheme="minorEastAsia" w:eastAsiaTheme="minorEastAsia" w:hAnsiTheme="minorEastAsia" w:cstheme="minorBidi" w:hint="eastAsia"/>
                <w:sz w:val="24"/>
                <w:szCs w:val="24"/>
              </w:rPr>
              <w:t>%</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10625.99</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0.79%</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14855</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1.19%</w:t>
            </w:r>
          </w:p>
        </w:tc>
      </w:tr>
      <w:tr w:rsidR="008768CC" w:rsidTr="00293A0E">
        <w:trPr>
          <w:trHeight w:val="340"/>
          <w:jc w:val="center"/>
        </w:trPr>
        <w:tc>
          <w:tcPr>
            <w:tcW w:w="1359" w:type="pct"/>
            <w:tcBorders>
              <w:top w:val="nil"/>
              <w:left w:val="single" w:sz="8" w:space="0" w:color="auto"/>
              <w:bottom w:val="single" w:sz="8" w:space="0" w:color="auto"/>
              <w:right w:val="single" w:sz="8" w:space="0" w:color="auto"/>
            </w:tcBorders>
            <w:noWrap/>
            <w:vAlign w:val="center"/>
          </w:tcPr>
          <w:p w:rsidR="008768CC" w:rsidRDefault="008768CC" w:rsidP="00293A0E">
            <w:pPr>
              <w:spacing w:line="46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电力、热力、燃气及水生产和供应业</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11214.24</w:t>
            </w:r>
          </w:p>
        </w:tc>
        <w:tc>
          <w:tcPr>
            <w:tcW w:w="446"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0.82</w:t>
            </w:r>
            <w:r>
              <w:rPr>
                <w:rFonts w:asciiTheme="minorEastAsia" w:eastAsiaTheme="minorEastAsia" w:hAnsiTheme="minorEastAsia" w:cstheme="minorBidi" w:hint="eastAsia"/>
                <w:sz w:val="24"/>
                <w:szCs w:val="24"/>
              </w:rPr>
              <w:t>%</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5711.68</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0.42%</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7352.18</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0.59%</w:t>
            </w:r>
          </w:p>
        </w:tc>
      </w:tr>
      <w:tr w:rsidR="008768CC" w:rsidTr="00293A0E">
        <w:trPr>
          <w:trHeight w:val="340"/>
          <w:jc w:val="center"/>
        </w:trPr>
        <w:tc>
          <w:tcPr>
            <w:tcW w:w="1359" w:type="pct"/>
            <w:tcBorders>
              <w:top w:val="nil"/>
              <w:left w:val="single" w:sz="8" w:space="0" w:color="auto"/>
              <w:bottom w:val="single" w:sz="8" w:space="0" w:color="auto"/>
              <w:right w:val="single" w:sz="8" w:space="0" w:color="auto"/>
            </w:tcBorders>
            <w:noWrap/>
            <w:vAlign w:val="center"/>
          </w:tcPr>
          <w:p w:rsidR="008768CC" w:rsidRDefault="008768CC" w:rsidP="00293A0E">
            <w:pPr>
              <w:spacing w:line="46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租赁和商务服务业</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4706.79</w:t>
            </w:r>
          </w:p>
        </w:tc>
        <w:tc>
          <w:tcPr>
            <w:tcW w:w="446"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0.34</w:t>
            </w:r>
            <w:r>
              <w:rPr>
                <w:rFonts w:asciiTheme="minorEastAsia" w:eastAsiaTheme="minorEastAsia" w:hAnsiTheme="minorEastAsia" w:cstheme="minorBidi" w:hint="eastAsia"/>
                <w:sz w:val="24"/>
                <w:szCs w:val="24"/>
              </w:rPr>
              <w:t>%</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2074.9</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0.15%</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250</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0.02%</w:t>
            </w:r>
          </w:p>
        </w:tc>
      </w:tr>
      <w:tr w:rsidR="008768CC" w:rsidTr="00293A0E">
        <w:trPr>
          <w:trHeight w:val="340"/>
          <w:jc w:val="center"/>
        </w:trPr>
        <w:tc>
          <w:tcPr>
            <w:tcW w:w="1359" w:type="pct"/>
            <w:tcBorders>
              <w:top w:val="nil"/>
              <w:left w:val="single" w:sz="8" w:space="0" w:color="auto"/>
              <w:bottom w:val="single" w:sz="8" w:space="0" w:color="auto"/>
              <w:right w:val="single" w:sz="8" w:space="0" w:color="auto"/>
            </w:tcBorders>
            <w:noWrap/>
            <w:vAlign w:val="center"/>
          </w:tcPr>
          <w:p w:rsidR="008768CC" w:rsidRDefault="008768CC" w:rsidP="00293A0E">
            <w:pPr>
              <w:spacing w:line="46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其他</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13196.58</w:t>
            </w:r>
          </w:p>
        </w:tc>
        <w:tc>
          <w:tcPr>
            <w:tcW w:w="446"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0.96</w:t>
            </w:r>
            <w:r>
              <w:rPr>
                <w:rFonts w:asciiTheme="minorEastAsia" w:eastAsiaTheme="minorEastAsia" w:hAnsiTheme="minorEastAsia" w:cstheme="minorBidi" w:hint="eastAsia"/>
                <w:sz w:val="24"/>
                <w:szCs w:val="24"/>
              </w:rPr>
              <w:t>%</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7859.45</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0.58%</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8385.22</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0.67%</w:t>
            </w:r>
          </w:p>
        </w:tc>
      </w:tr>
      <w:tr w:rsidR="008768CC" w:rsidTr="00293A0E">
        <w:trPr>
          <w:trHeight w:val="340"/>
          <w:jc w:val="center"/>
        </w:trPr>
        <w:tc>
          <w:tcPr>
            <w:tcW w:w="1359" w:type="pct"/>
            <w:tcBorders>
              <w:top w:val="nil"/>
              <w:left w:val="single" w:sz="8" w:space="0" w:color="auto"/>
              <w:bottom w:val="single" w:sz="8" w:space="0" w:color="auto"/>
              <w:right w:val="single" w:sz="8" w:space="0" w:color="auto"/>
            </w:tcBorders>
            <w:noWrap/>
            <w:vAlign w:val="center"/>
          </w:tcPr>
          <w:p w:rsidR="008768CC" w:rsidRDefault="008768CC" w:rsidP="00293A0E">
            <w:pPr>
              <w:spacing w:line="46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个人贷款</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1055594.13</w:t>
            </w:r>
          </w:p>
        </w:tc>
        <w:tc>
          <w:tcPr>
            <w:tcW w:w="446"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77.01%</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1059903.61</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78.44%</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977826.67</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78.51%</w:t>
            </w:r>
          </w:p>
        </w:tc>
      </w:tr>
      <w:tr w:rsidR="008768CC" w:rsidTr="00293A0E">
        <w:trPr>
          <w:trHeight w:val="340"/>
          <w:jc w:val="center"/>
        </w:trPr>
        <w:tc>
          <w:tcPr>
            <w:tcW w:w="1359" w:type="pct"/>
            <w:tcBorders>
              <w:top w:val="nil"/>
              <w:left w:val="single" w:sz="8" w:space="0" w:color="auto"/>
              <w:bottom w:val="single" w:sz="8" w:space="0" w:color="auto"/>
              <w:right w:val="single" w:sz="8" w:space="0" w:color="auto"/>
            </w:tcBorders>
            <w:noWrap/>
            <w:vAlign w:val="center"/>
          </w:tcPr>
          <w:p w:rsidR="008768CC" w:rsidRDefault="008768CC" w:rsidP="00293A0E">
            <w:pPr>
              <w:spacing w:line="46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票据贴现（含转贴）</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156789.06</w:t>
            </w:r>
          </w:p>
        </w:tc>
        <w:tc>
          <w:tcPr>
            <w:tcW w:w="446"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11.44%</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131451.63</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9.73%</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66488.56</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5.34%</w:t>
            </w:r>
          </w:p>
        </w:tc>
      </w:tr>
      <w:tr w:rsidR="008768CC" w:rsidTr="00293A0E">
        <w:trPr>
          <w:trHeight w:val="340"/>
          <w:jc w:val="center"/>
        </w:trPr>
        <w:tc>
          <w:tcPr>
            <w:tcW w:w="1359" w:type="pct"/>
            <w:tcBorders>
              <w:top w:val="nil"/>
              <w:left w:val="single" w:sz="8" w:space="0" w:color="auto"/>
              <w:bottom w:val="single" w:sz="8" w:space="0" w:color="auto"/>
              <w:right w:val="single" w:sz="8" w:space="0" w:color="auto"/>
            </w:tcBorders>
            <w:noWrap/>
            <w:vAlign w:val="center"/>
          </w:tcPr>
          <w:p w:rsidR="008768CC" w:rsidRDefault="008768CC" w:rsidP="00293A0E">
            <w:pPr>
              <w:spacing w:line="46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贷款总额</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1370750.24</w:t>
            </w:r>
          </w:p>
        </w:tc>
        <w:tc>
          <w:tcPr>
            <w:tcW w:w="446"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100%</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1351163.38</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100%</w:t>
            </w:r>
          </w:p>
        </w:tc>
        <w:tc>
          <w:tcPr>
            <w:tcW w:w="674"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1245481.63</w:t>
            </w:r>
          </w:p>
        </w:tc>
        <w:tc>
          <w:tcPr>
            <w:tcW w:w="585" w:type="pct"/>
            <w:tcBorders>
              <w:top w:val="nil"/>
              <w:left w:val="nil"/>
              <w:bottom w:val="single" w:sz="8" w:space="0" w:color="auto"/>
              <w:right w:val="single" w:sz="8" w:space="0" w:color="auto"/>
            </w:tcBorders>
            <w:noWrap/>
          </w:tcPr>
          <w:p w:rsidR="008768CC" w:rsidRDefault="008768CC" w:rsidP="00293A0E">
            <w:pPr>
              <w:widowControl w:val="0"/>
              <w:spacing w:line="460" w:lineRule="exact"/>
              <w:ind w:firstLineChars="0" w:firstLine="0"/>
              <w:jc w:val="righ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100%</w:t>
            </w:r>
          </w:p>
        </w:tc>
      </w:tr>
    </w:tbl>
    <w:p w:rsidR="008768CC" w:rsidRDefault="008768CC" w:rsidP="008768CC">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（3）按五级分类划分</w:t>
      </w:r>
    </w:p>
    <w:p w:rsidR="008768CC" w:rsidRDefault="008768CC" w:rsidP="008768CC">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虽然国内经济增长呈现企稳迹象，但结构性矛盾仍然突出，部分行业产能过剩继续抑制制造业投资增长，经营环境恶化，信贷资产质量走势向下的压力持续存在。为此，本行严格贷前审查，强化贷后管理，加大不良贷款处置力度，创新不良贷款处置手段，严控不良贷款反弹，实现了资产质量的稳定可控。截至报告期末，本行不良贷款余额1.16亿元，同比下降0.04亿元，下降幅度3.22%；不良贷款率0.85%，同比下降0.04个百分点。</w:t>
      </w:r>
    </w:p>
    <w:p w:rsidR="008768CC" w:rsidRDefault="008768CC" w:rsidP="008768CC">
      <w:pPr>
        <w:spacing w:afterLines="50" w:after="156" w:line="5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单位：人民币万元</w:t>
      </w:r>
    </w:p>
    <w:tbl>
      <w:tblPr>
        <w:tblW w:w="4998" w:type="pct"/>
        <w:jc w:val="center"/>
        <w:tblLook w:val="04A0" w:firstRow="1" w:lastRow="0" w:firstColumn="1" w:lastColumn="0" w:noHBand="0" w:noVBand="1"/>
      </w:tblPr>
      <w:tblGrid>
        <w:gridCol w:w="1703"/>
        <w:gridCol w:w="1356"/>
        <w:gridCol w:w="1002"/>
        <w:gridCol w:w="1356"/>
        <w:gridCol w:w="1440"/>
        <w:gridCol w:w="1356"/>
        <w:gridCol w:w="900"/>
      </w:tblGrid>
      <w:tr w:rsidR="008768CC" w:rsidTr="00293A0E">
        <w:trPr>
          <w:trHeight w:val="340"/>
          <w:jc w:val="center"/>
        </w:trPr>
        <w:tc>
          <w:tcPr>
            <w:tcW w:w="965" w:type="pct"/>
            <w:vMerge w:val="restart"/>
            <w:tcBorders>
              <w:top w:val="single" w:sz="8" w:space="0" w:color="auto"/>
              <w:left w:val="single" w:sz="8" w:space="0" w:color="auto"/>
              <w:bottom w:val="single" w:sz="8" w:space="0" w:color="000000"/>
              <w:right w:val="single" w:sz="8"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类别</w:t>
            </w:r>
          </w:p>
        </w:tc>
        <w:tc>
          <w:tcPr>
            <w:tcW w:w="1352" w:type="pct"/>
            <w:gridSpan w:val="2"/>
            <w:tcBorders>
              <w:top w:val="single" w:sz="8" w:space="0" w:color="auto"/>
              <w:left w:val="nil"/>
              <w:bottom w:val="single" w:sz="4" w:space="0" w:color="auto"/>
              <w:right w:val="single" w:sz="8" w:space="0" w:color="000000"/>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t>20</w:t>
            </w:r>
            <w:r>
              <w:rPr>
                <w:rFonts w:asciiTheme="minorEastAsia" w:eastAsiaTheme="minorEastAsia" w:hAnsiTheme="minorEastAsia" w:cs="宋体" w:hint="eastAsia"/>
                <w:b/>
                <w:bCs/>
                <w:kern w:val="0"/>
                <w:sz w:val="24"/>
                <w:szCs w:val="24"/>
              </w:rPr>
              <w:t>23</w:t>
            </w:r>
            <w:r>
              <w:rPr>
                <w:rFonts w:asciiTheme="minorEastAsia" w:eastAsiaTheme="minorEastAsia" w:hAnsiTheme="minorEastAsia" w:cs="宋体"/>
                <w:b/>
                <w:bCs/>
                <w:kern w:val="0"/>
                <w:sz w:val="24"/>
                <w:szCs w:val="24"/>
              </w:rPr>
              <w:t>年</w:t>
            </w:r>
          </w:p>
        </w:tc>
        <w:tc>
          <w:tcPr>
            <w:tcW w:w="1374" w:type="pct"/>
            <w:gridSpan w:val="2"/>
            <w:tcBorders>
              <w:top w:val="single" w:sz="8" w:space="0" w:color="auto"/>
              <w:left w:val="nil"/>
              <w:bottom w:val="single" w:sz="8" w:space="0" w:color="auto"/>
              <w:right w:val="single" w:sz="8" w:space="0" w:color="000000"/>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t>20</w:t>
            </w:r>
            <w:r>
              <w:rPr>
                <w:rFonts w:asciiTheme="minorEastAsia" w:eastAsiaTheme="minorEastAsia" w:hAnsiTheme="minorEastAsia" w:cs="宋体" w:hint="eastAsia"/>
                <w:b/>
                <w:bCs/>
                <w:kern w:val="0"/>
                <w:sz w:val="24"/>
                <w:szCs w:val="24"/>
              </w:rPr>
              <w:t>22</w:t>
            </w:r>
            <w:r>
              <w:rPr>
                <w:rFonts w:asciiTheme="minorEastAsia" w:eastAsiaTheme="minorEastAsia" w:hAnsiTheme="minorEastAsia" w:cs="宋体"/>
                <w:b/>
                <w:bCs/>
                <w:kern w:val="0"/>
                <w:sz w:val="24"/>
                <w:szCs w:val="24"/>
              </w:rPr>
              <w:t>年</w:t>
            </w:r>
          </w:p>
        </w:tc>
        <w:tc>
          <w:tcPr>
            <w:tcW w:w="1307" w:type="pct"/>
            <w:gridSpan w:val="2"/>
            <w:tcBorders>
              <w:top w:val="single" w:sz="8" w:space="0" w:color="auto"/>
              <w:left w:val="nil"/>
              <w:bottom w:val="single" w:sz="8" w:space="0" w:color="auto"/>
              <w:right w:val="single" w:sz="8" w:space="0" w:color="000000"/>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t>20</w:t>
            </w:r>
            <w:r>
              <w:rPr>
                <w:rFonts w:asciiTheme="minorEastAsia" w:eastAsiaTheme="minorEastAsia" w:hAnsiTheme="minorEastAsia" w:cs="宋体" w:hint="eastAsia"/>
                <w:b/>
                <w:bCs/>
                <w:kern w:val="0"/>
                <w:sz w:val="24"/>
                <w:szCs w:val="24"/>
              </w:rPr>
              <w:t>21</w:t>
            </w:r>
            <w:r>
              <w:rPr>
                <w:rFonts w:asciiTheme="minorEastAsia" w:eastAsiaTheme="minorEastAsia" w:hAnsiTheme="minorEastAsia" w:cs="宋体"/>
                <w:b/>
                <w:bCs/>
                <w:kern w:val="0"/>
                <w:sz w:val="24"/>
                <w:szCs w:val="24"/>
              </w:rPr>
              <w:t>年</w:t>
            </w:r>
          </w:p>
        </w:tc>
      </w:tr>
      <w:tr w:rsidR="008768CC" w:rsidTr="00293A0E">
        <w:trPr>
          <w:trHeight w:val="340"/>
          <w:jc w:val="center"/>
        </w:trPr>
        <w:tc>
          <w:tcPr>
            <w:tcW w:w="965" w:type="pct"/>
            <w:vMerge/>
            <w:tcBorders>
              <w:top w:val="single" w:sz="8" w:space="0" w:color="auto"/>
              <w:left w:val="single" w:sz="8" w:space="0" w:color="auto"/>
              <w:bottom w:val="single" w:sz="8" w:space="0" w:color="000000"/>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b/>
                <w:bCs/>
                <w:kern w:val="0"/>
                <w:sz w:val="24"/>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金额</w:t>
            </w:r>
          </w:p>
        </w:tc>
        <w:tc>
          <w:tcPr>
            <w:tcW w:w="601"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占比</w:t>
            </w:r>
          </w:p>
        </w:tc>
        <w:tc>
          <w:tcPr>
            <w:tcW w:w="750" w:type="pct"/>
            <w:tcBorders>
              <w:top w:val="nil"/>
              <w:left w:val="single" w:sz="4" w:space="0" w:color="auto"/>
              <w:bottom w:val="single" w:sz="8" w:space="0" w:color="auto"/>
              <w:right w:val="single" w:sz="8"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金额</w:t>
            </w:r>
          </w:p>
        </w:tc>
        <w:tc>
          <w:tcPr>
            <w:tcW w:w="623" w:type="pct"/>
            <w:tcBorders>
              <w:top w:val="nil"/>
              <w:left w:val="nil"/>
              <w:bottom w:val="single" w:sz="8" w:space="0" w:color="auto"/>
              <w:right w:val="single" w:sz="8"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占比</w:t>
            </w:r>
          </w:p>
        </w:tc>
        <w:tc>
          <w:tcPr>
            <w:tcW w:w="785" w:type="pct"/>
            <w:tcBorders>
              <w:top w:val="nil"/>
              <w:left w:val="nil"/>
              <w:bottom w:val="single" w:sz="8" w:space="0" w:color="auto"/>
              <w:right w:val="single" w:sz="8"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金额</w:t>
            </w:r>
          </w:p>
        </w:tc>
        <w:tc>
          <w:tcPr>
            <w:tcW w:w="521" w:type="pct"/>
            <w:tcBorders>
              <w:top w:val="nil"/>
              <w:left w:val="nil"/>
              <w:bottom w:val="single" w:sz="8" w:space="0" w:color="auto"/>
              <w:right w:val="single" w:sz="8"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占比</w:t>
            </w:r>
          </w:p>
        </w:tc>
      </w:tr>
      <w:tr w:rsidR="008768CC" w:rsidTr="00293A0E">
        <w:trPr>
          <w:trHeight w:val="340"/>
          <w:jc w:val="center"/>
        </w:trPr>
        <w:tc>
          <w:tcPr>
            <w:tcW w:w="965" w:type="pct"/>
            <w:tcBorders>
              <w:top w:val="nil"/>
              <w:left w:val="single" w:sz="8" w:space="0" w:color="auto"/>
              <w:bottom w:val="single" w:sz="8"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贷款总额</w:t>
            </w:r>
          </w:p>
        </w:tc>
        <w:tc>
          <w:tcPr>
            <w:tcW w:w="750"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1370750.24</w:t>
            </w:r>
          </w:p>
        </w:tc>
        <w:tc>
          <w:tcPr>
            <w:tcW w:w="601"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100%</w:t>
            </w:r>
          </w:p>
        </w:tc>
        <w:tc>
          <w:tcPr>
            <w:tcW w:w="750" w:type="pct"/>
            <w:tcBorders>
              <w:top w:val="nil"/>
              <w:left w:val="single" w:sz="4" w:space="0" w:color="auto"/>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1351163.38</w:t>
            </w:r>
          </w:p>
        </w:tc>
        <w:tc>
          <w:tcPr>
            <w:tcW w:w="623"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198"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100%</w:t>
            </w:r>
          </w:p>
        </w:tc>
        <w:tc>
          <w:tcPr>
            <w:tcW w:w="785"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1245481.63</w:t>
            </w:r>
          </w:p>
        </w:tc>
        <w:tc>
          <w:tcPr>
            <w:tcW w:w="521"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100%</w:t>
            </w:r>
          </w:p>
        </w:tc>
      </w:tr>
      <w:tr w:rsidR="008768CC" w:rsidTr="00293A0E">
        <w:trPr>
          <w:trHeight w:val="340"/>
          <w:jc w:val="center"/>
        </w:trPr>
        <w:tc>
          <w:tcPr>
            <w:tcW w:w="965" w:type="pct"/>
            <w:tcBorders>
              <w:top w:val="nil"/>
              <w:left w:val="single" w:sz="8" w:space="0" w:color="auto"/>
              <w:bottom w:val="single" w:sz="8" w:space="0" w:color="auto"/>
              <w:right w:val="single" w:sz="4" w:space="0" w:color="auto"/>
            </w:tcBorders>
            <w:noWrap/>
            <w:vAlign w:val="center"/>
          </w:tcPr>
          <w:p w:rsidR="008768CC" w:rsidRDefault="008768CC" w:rsidP="008768CC">
            <w:pPr>
              <w:spacing w:line="500" w:lineRule="exact"/>
              <w:ind w:rightChars="-130" w:right="-416"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正常贷款</w:t>
            </w:r>
          </w:p>
        </w:tc>
        <w:tc>
          <w:tcPr>
            <w:tcW w:w="750"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1359124.83</w:t>
            </w:r>
          </w:p>
        </w:tc>
        <w:tc>
          <w:tcPr>
            <w:tcW w:w="601"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99.15%</w:t>
            </w:r>
          </w:p>
        </w:tc>
        <w:tc>
          <w:tcPr>
            <w:tcW w:w="750" w:type="pct"/>
            <w:tcBorders>
              <w:top w:val="nil"/>
              <w:left w:val="single" w:sz="4" w:space="0" w:color="auto"/>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1339151.66</w:t>
            </w:r>
          </w:p>
        </w:tc>
        <w:tc>
          <w:tcPr>
            <w:tcW w:w="623"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99.11</w:t>
            </w:r>
            <w:r>
              <w:rPr>
                <w:rFonts w:asciiTheme="minorEastAsia" w:eastAsiaTheme="minorEastAsia" w:hAnsiTheme="minorEastAsia" w:cs="宋体" w:hint="eastAsia"/>
                <w:spacing w:val="-6"/>
                <w:kern w:val="0"/>
                <w:sz w:val="24"/>
                <w:szCs w:val="24"/>
              </w:rPr>
              <w:t>%</w:t>
            </w:r>
          </w:p>
        </w:tc>
        <w:tc>
          <w:tcPr>
            <w:tcW w:w="785"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1235324.43</w:t>
            </w:r>
          </w:p>
        </w:tc>
        <w:tc>
          <w:tcPr>
            <w:tcW w:w="521"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99.18%</w:t>
            </w:r>
          </w:p>
        </w:tc>
      </w:tr>
      <w:tr w:rsidR="008768CC" w:rsidTr="00293A0E">
        <w:trPr>
          <w:trHeight w:val="340"/>
          <w:jc w:val="center"/>
        </w:trPr>
        <w:tc>
          <w:tcPr>
            <w:tcW w:w="965" w:type="pct"/>
            <w:tcBorders>
              <w:top w:val="nil"/>
              <w:left w:val="single" w:sz="8" w:space="0" w:color="auto"/>
              <w:bottom w:val="single" w:sz="8"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其中：正常类</w:t>
            </w:r>
          </w:p>
        </w:tc>
        <w:tc>
          <w:tcPr>
            <w:tcW w:w="750"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1297936.86</w:t>
            </w:r>
          </w:p>
        </w:tc>
        <w:tc>
          <w:tcPr>
            <w:tcW w:w="601"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94.69%</w:t>
            </w:r>
          </w:p>
        </w:tc>
        <w:tc>
          <w:tcPr>
            <w:tcW w:w="750" w:type="pct"/>
            <w:tcBorders>
              <w:top w:val="nil"/>
              <w:left w:val="single" w:sz="4" w:space="0" w:color="auto"/>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1287887.72</w:t>
            </w:r>
          </w:p>
        </w:tc>
        <w:tc>
          <w:tcPr>
            <w:tcW w:w="623"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center"/>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 xml:space="preserve">     </w:t>
            </w:r>
            <w:r>
              <w:rPr>
                <w:rFonts w:asciiTheme="minorEastAsia" w:eastAsiaTheme="minorEastAsia" w:hAnsiTheme="minorEastAsia" w:cs="宋体"/>
                <w:spacing w:val="-6"/>
                <w:kern w:val="0"/>
                <w:sz w:val="24"/>
                <w:szCs w:val="24"/>
              </w:rPr>
              <w:t>95.32</w:t>
            </w:r>
            <w:r>
              <w:rPr>
                <w:rFonts w:asciiTheme="minorEastAsia" w:eastAsiaTheme="minorEastAsia" w:hAnsiTheme="minorEastAsia" w:cs="宋体" w:hint="eastAsia"/>
                <w:spacing w:val="-6"/>
                <w:kern w:val="0"/>
                <w:sz w:val="24"/>
                <w:szCs w:val="24"/>
              </w:rPr>
              <w:t>%</w:t>
            </w:r>
          </w:p>
        </w:tc>
        <w:tc>
          <w:tcPr>
            <w:tcW w:w="785"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1195071.97</w:t>
            </w:r>
          </w:p>
        </w:tc>
        <w:tc>
          <w:tcPr>
            <w:tcW w:w="521"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95.95%</w:t>
            </w:r>
          </w:p>
        </w:tc>
      </w:tr>
      <w:tr w:rsidR="008768CC" w:rsidTr="00293A0E">
        <w:trPr>
          <w:trHeight w:val="340"/>
          <w:jc w:val="center"/>
        </w:trPr>
        <w:tc>
          <w:tcPr>
            <w:tcW w:w="965" w:type="pct"/>
            <w:tcBorders>
              <w:top w:val="nil"/>
              <w:left w:val="single" w:sz="8" w:space="0" w:color="auto"/>
              <w:bottom w:val="single" w:sz="8"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关注类</w:t>
            </w:r>
          </w:p>
        </w:tc>
        <w:tc>
          <w:tcPr>
            <w:tcW w:w="750"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61187.97</w:t>
            </w:r>
          </w:p>
        </w:tc>
        <w:tc>
          <w:tcPr>
            <w:tcW w:w="601"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4.46</w:t>
            </w:r>
            <w:r>
              <w:rPr>
                <w:rFonts w:asciiTheme="minorEastAsia" w:eastAsiaTheme="minorEastAsia" w:hAnsiTheme="minorEastAsia" w:cs="宋体" w:hint="eastAsia"/>
                <w:spacing w:val="-6"/>
                <w:kern w:val="0"/>
                <w:sz w:val="24"/>
                <w:szCs w:val="24"/>
              </w:rPr>
              <w:t>%</w:t>
            </w:r>
          </w:p>
        </w:tc>
        <w:tc>
          <w:tcPr>
            <w:tcW w:w="750" w:type="pct"/>
            <w:tcBorders>
              <w:top w:val="nil"/>
              <w:left w:val="single" w:sz="4" w:space="0" w:color="auto"/>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51263.94</w:t>
            </w:r>
          </w:p>
        </w:tc>
        <w:tc>
          <w:tcPr>
            <w:tcW w:w="623"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center"/>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 xml:space="preserve">      </w:t>
            </w:r>
            <w:r>
              <w:rPr>
                <w:rFonts w:asciiTheme="minorEastAsia" w:eastAsiaTheme="minorEastAsia" w:hAnsiTheme="minorEastAsia" w:cs="宋体"/>
                <w:spacing w:val="-6"/>
                <w:kern w:val="0"/>
                <w:sz w:val="24"/>
                <w:szCs w:val="24"/>
              </w:rPr>
              <w:t>3.79</w:t>
            </w:r>
            <w:r>
              <w:rPr>
                <w:rFonts w:asciiTheme="minorEastAsia" w:eastAsiaTheme="minorEastAsia" w:hAnsiTheme="minorEastAsia" w:cs="宋体" w:hint="eastAsia"/>
                <w:spacing w:val="-6"/>
                <w:kern w:val="0"/>
                <w:sz w:val="24"/>
                <w:szCs w:val="24"/>
              </w:rPr>
              <w:t>%</w:t>
            </w:r>
          </w:p>
        </w:tc>
        <w:tc>
          <w:tcPr>
            <w:tcW w:w="785"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40252.46</w:t>
            </w:r>
          </w:p>
        </w:tc>
        <w:tc>
          <w:tcPr>
            <w:tcW w:w="521"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3.23%</w:t>
            </w:r>
          </w:p>
        </w:tc>
      </w:tr>
      <w:tr w:rsidR="008768CC" w:rsidTr="00293A0E">
        <w:trPr>
          <w:trHeight w:val="340"/>
          <w:jc w:val="center"/>
        </w:trPr>
        <w:tc>
          <w:tcPr>
            <w:tcW w:w="965" w:type="pct"/>
            <w:tcBorders>
              <w:top w:val="nil"/>
              <w:left w:val="single" w:sz="8" w:space="0" w:color="auto"/>
              <w:bottom w:val="single" w:sz="8"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不良贷款</w:t>
            </w:r>
          </w:p>
        </w:tc>
        <w:tc>
          <w:tcPr>
            <w:tcW w:w="750"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11625.41</w:t>
            </w:r>
          </w:p>
        </w:tc>
        <w:tc>
          <w:tcPr>
            <w:tcW w:w="601"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0.85%</w:t>
            </w:r>
          </w:p>
        </w:tc>
        <w:tc>
          <w:tcPr>
            <w:tcW w:w="750" w:type="pct"/>
            <w:tcBorders>
              <w:top w:val="nil"/>
              <w:left w:val="single" w:sz="4" w:space="0" w:color="auto"/>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12011.72</w:t>
            </w:r>
          </w:p>
        </w:tc>
        <w:tc>
          <w:tcPr>
            <w:tcW w:w="623"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 xml:space="preserve"> </w:t>
            </w:r>
            <w:r>
              <w:rPr>
                <w:rFonts w:asciiTheme="minorEastAsia" w:eastAsiaTheme="minorEastAsia" w:hAnsiTheme="minorEastAsia" w:cs="宋体"/>
                <w:spacing w:val="-6"/>
                <w:kern w:val="0"/>
                <w:sz w:val="24"/>
                <w:szCs w:val="24"/>
              </w:rPr>
              <w:t>0.89</w:t>
            </w:r>
            <w:r>
              <w:rPr>
                <w:rFonts w:asciiTheme="minorEastAsia" w:eastAsiaTheme="minorEastAsia" w:hAnsiTheme="minorEastAsia" w:cs="宋体" w:hint="eastAsia"/>
                <w:spacing w:val="-6"/>
                <w:kern w:val="0"/>
                <w:sz w:val="24"/>
                <w:szCs w:val="24"/>
              </w:rPr>
              <w:t>%</w:t>
            </w:r>
          </w:p>
        </w:tc>
        <w:tc>
          <w:tcPr>
            <w:tcW w:w="785"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10157.2</w:t>
            </w:r>
          </w:p>
        </w:tc>
        <w:tc>
          <w:tcPr>
            <w:tcW w:w="521"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0.82%</w:t>
            </w:r>
          </w:p>
        </w:tc>
      </w:tr>
      <w:tr w:rsidR="008768CC" w:rsidTr="00293A0E">
        <w:trPr>
          <w:trHeight w:val="340"/>
          <w:jc w:val="center"/>
        </w:trPr>
        <w:tc>
          <w:tcPr>
            <w:tcW w:w="965" w:type="pct"/>
            <w:tcBorders>
              <w:top w:val="nil"/>
              <w:left w:val="single" w:sz="8" w:space="0" w:color="auto"/>
              <w:bottom w:val="single" w:sz="8"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其中：次级类</w:t>
            </w:r>
          </w:p>
        </w:tc>
        <w:tc>
          <w:tcPr>
            <w:tcW w:w="750"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6360.38</w:t>
            </w:r>
          </w:p>
        </w:tc>
        <w:tc>
          <w:tcPr>
            <w:tcW w:w="601"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0.46</w:t>
            </w:r>
            <w:r>
              <w:rPr>
                <w:rFonts w:asciiTheme="minorEastAsia" w:eastAsiaTheme="minorEastAsia" w:hAnsiTheme="minorEastAsia" w:cs="宋体" w:hint="eastAsia"/>
                <w:spacing w:val="-6"/>
                <w:kern w:val="0"/>
                <w:sz w:val="24"/>
                <w:szCs w:val="24"/>
              </w:rPr>
              <w:t>%</w:t>
            </w:r>
          </w:p>
        </w:tc>
        <w:tc>
          <w:tcPr>
            <w:tcW w:w="750" w:type="pct"/>
            <w:tcBorders>
              <w:top w:val="nil"/>
              <w:left w:val="single" w:sz="4" w:space="0" w:color="auto"/>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4487.84</w:t>
            </w:r>
          </w:p>
        </w:tc>
        <w:tc>
          <w:tcPr>
            <w:tcW w:w="623"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0.33</w:t>
            </w:r>
            <w:r>
              <w:rPr>
                <w:rFonts w:asciiTheme="minorEastAsia" w:eastAsiaTheme="minorEastAsia" w:hAnsiTheme="minorEastAsia" w:cs="宋体" w:hint="eastAsia"/>
                <w:spacing w:val="-6"/>
                <w:kern w:val="0"/>
                <w:sz w:val="24"/>
                <w:szCs w:val="24"/>
              </w:rPr>
              <w:t>%</w:t>
            </w:r>
          </w:p>
        </w:tc>
        <w:tc>
          <w:tcPr>
            <w:tcW w:w="785"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4073</w:t>
            </w:r>
          </w:p>
        </w:tc>
        <w:tc>
          <w:tcPr>
            <w:tcW w:w="521"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0.33%</w:t>
            </w:r>
          </w:p>
        </w:tc>
      </w:tr>
      <w:tr w:rsidR="008768CC" w:rsidTr="00293A0E">
        <w:trPr>
          <w:trHeight w:val="340"/>
          <w:jc w:val="center"/>
        </w:trPr>
        <w:tc>
          <w:tcPr>
            <w:tcW w:w="965" w:type="pct"/>
            <w:tcBorders>
              <w:top w:val="nil"/>
              <w:left w:val="single" w:sz="8" w:space="0" w:color="auto"/>
              <w:bottom w:val="single" w:sz="8"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可疑类</w:t>
            </w:r>
          </w:p>
        </w:tc>
        <w:tc>
          <w:tcPr>
            <w:tcW w:w="750"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4948.74</w:t>
            </w:r>
          </w:p>
        </w:tc>
        <w:tc>
          <w:tcPr>
            <w:tcW w:w="601"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0.36</w:t>
            </w:r>
            <w:r>
              <w:rPr>
                <w:rFonts w:asciiTheme="minorEastAsia" w:eastAsiaTheme="minorEastAsia" w:hAnsiTheme="minorEastAsia" w:cs="宋体" w:hint="eastAsia"/>
                <w:spacing w:val="-6"/>
                <w:kern w:val="0"/>
                <w:sz w:val="24"/>
                <w:szCs w:val="24"/>
              </w:rPr>
              <w:t>%</w:t>
            </w:r>
          </w:p>
        </w:tc>
        <w:tc>
          <w:tcPr>
            <w:tcW w:w="750" w:type="pct"/>
            <w:tcBorders>
              <w:top w:val="nil"/>
              <w:left w:val="single" w:sz="4" w:space="0" w:color="auto"/>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7496.85</w:t>
            </w:r>
          </w:p>
        </w:tc>
        <w:tc>
          <w:tcPr>
            <w:tcW w:w="623"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0.55</w:t>
            </w:r>
            <w:r>
              <w:rPr>
                <w:rFonts w:asciiTheme="minorEastAsia" w:eastAsiaTheme="minorEastAsia" w:hAnsiTheme="minorEastAsia" w:cs="宋体" w:hint="eastAsia"/>
                <w:spacing w:val="-6"/>
                <w:kern w:val="0"/>
                <w:sz w:val="24"/>
                <w:szCs w:val="24"/>
              </w:rPr>
              <w:t>%</w:t>
            </w:r>
          </w:p>
        </w:tc>
        <w:tc>
          <w:tcPr>
            <w:tcW w:w="785"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6057.02</w:t>
            </w:r>
          </w:p>
        </w:tc>
        <w:tc>
          <w:tcPr>
            <w:tcW w:w="521"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0.49%</w:t>
            </w:r>
          </w:p>
        </w:tc>
      </w:tr>
      <w:tr w:rsidR="008768CC" w:rsidTr="00293A0E">
        <w:trPr>
          <w:trHeight w:val="340"/>
          <w:jc w:val="center"/>
        </w:trPr>
        <w:tc>
          <w:tcPr>
            <w:tcW w:w="965" w:type="pct"/>
            <w:tcBorders>
              <w:top w:val="nil"/>
              <w:left w:val="single" w:sz="8" w:space="0" w:color="auto"/>
              <w:bottom w:val="single" w:sz="8"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损失类</w:t>
            </w:r>
          </w:p>
        </w:tc>
        <w:tc>
          <w:tcPr>
            <w:tcW w:w="750"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316.29</w:t>
            </w:r>
          </w:p>
        </w:tc>
        <w:tc>
          <w:tcPr>
            <w:tcW w:w="601"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0.02</w:t>
            </w:r>
            <w:r>
              <w:rPr>
                <w:rFonts w:asciiTheme="minorEastAsia" w:eastAsiaTheme="minorEastAsia" w:hAnsiTheme="minorEastAsia" w:cs="宋体" w:hint="eastAsia"/>
                <w:spacing w:val="-6"/>
                <w:kern w:val="0"/>
                <w:sz w:val="24"/>
                <w:szCs w:val="24"/>
              </w:rPr>
              <w:t>%</w:t>
            </w:r>
          </w:p>
        </w:tc>
        <w:tc>
          <w:tcPr>
            <w:tcW w:w="750" w:type="pct"/>
            <w:tcBorders>
              <w:top w:val="nil"/>
              <w:left w:val="single" w:sz="4" w:space="0" w:color="auto"/>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27.03</w:t>
            </w:r>
          </w:p>
        </w:tc>
        <w:tc>
          <w:tcPr>
            <w:tcW w:w="623"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0.002</w:t>
            </w:r>
            <w:r>
              <w:rPr>
                <w:rFonts w:asciiTheme="minorEastAsia" w:eastAsiaTheme="minorEastAsia" w:hAnsiTheme="minorEastAsia" w:cs="宋体" w:hint="eastAsia"/>
                <w:spacing w:val="-6"/>
                <w:kern w:val="0"/>
                <w:sz w:val="24"/>
                <w:szCs w:val="24"/>
              </w:rPr>
              <w:t>%</w:t>
            </w:r>
          </w:p>
        </w:tc>
        <w:tc>
          <w:tcPr>
            <w:tcW w:w="785"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27.18</w:t>
            </w:r>
          </w:p>
        </w:tc>
        <w:tc>
          <w:tcPr>
            <w:tcW w:w="521"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0.002%</w:t>
            </w:r>
          </w:p>
        </w:tc>
      </w:tr>
    </w:tbl>
    <w:p w:rsidR="008768CC" w:rsidRDefault="008768CC" w:rsidP="008768CC">
      <w:pPr>
        <w:spacing w:beforeLines="50" w:before="156"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（4）授信集中度情况</w:t>
      </w:r>
    </w:p>
    <w:p w:rsidR="008768CC" w:rsidRDefault="008768CC" w:rsidP="008768CC">
      <w:pPr>
        <w:spacing w:afterLines="50" w:after="156" w:line="500" w:lineRule="exact"/>
        <w:ind w:rightChars="-10" w:right="-32"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前十大客户的贷款余额合计4.75亿元，占本行贷款总额的3.46%，本行最大一户贷款余额0.62亿元，占本行贷款总额的0.45%，单一集团客户授信集中度指标为7.39%,单一客户贷款集中度为2.95%,符合相关监管要求</w:t>
      </w:r>
      <w:r>
        <w:rPr>
          <w:rFonts w:asciiTheme="minorEastAsia" w:eastAsiaTheme="minorEastAsia" w:hAnsiTheme="minorEastAsia" w:cs="宋体"/>
          <w:kern w:val="0"/>
          <w:sz w:val="24"/>
          <w:szCs w:val="24"/>
        </w:rPr>
        <w:t>。</w:t>
      </w:r>
    </w:p>
    <w:tbl>
      <w:tblPr>
        <w:tblW w:w="79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943"/>
        <w:gridCol w:w="2694"/>
        <w:gridCol w:w="2268"/>
      </w:tblGrid>
      <w:tr w:rsidR="008768CC" w:rsidTr="00293A0E">
        <w:trPr>
          <w:trHeight w:val="397"/>
          <w:jc w:val="center"/>
        </w:trPr>
        <w:tc>
          <w:tcPr>
            <w:tcW w:w="2943" w:type="dxa"/>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指标名称</w:t>
            </w:r>
          </w:p>
        </w:tc>
        <w:tc>
          <w:tcPr>
            <w:tcW w:w="2694" w:type="dxa"/>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监管要求</w:t>
            </w:r>
          </w:p>
        </w:tc>
        <w:tc>
          <w:tcPr>
            <w:tcW w:w="2268" w:type="dxa"/>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w:t>
            </w:r>
            <w:r>
              <w:rPr>
                <w:rFonts w:asciiTheme="minorEastAsia" w:eastAsiaTheme="minorEastAsia" w:hAnsiTheme="minorEastAsia" w:cs="宋体" w:hint="eastAsia"/>
                <w:b/>
                <w:kern w:val="0"/>
                <w:sz w:val="24"/>
                <w:szCs w:val="24"/>
              </w:rPr>
              <w:t>23</w:t>
            </w:r>
            <w:r>
              <w:rPr>
                <w:rFonts w:asciiTheme="minorEastAsia" w:eastAsiaTheme="minorEastAsia" w:hAnsiTheme="minorEastAsia" w:cs="宋体"/>
                <w:b/>
                <w:kern w:val="0"/>
                <w:sz w:val="24"/>
                <w:szCs w:val="24"/>
              </w:rPr>
              <w:t>年末</w:t>
            </w:r>
          </w:p>
        </w:tc>
      </w:tr>
      <w:tr w:rsidR="008768CC" w:rsidTr="00293A0E">
        <w:trPr>
          <w:trHeight w:val="397"/>
          <w:jc w:val="center"/>
        </w:trPr>
        <w:tc>
          <w:tcPr>
            <w:tcW w:w="2943" w:type="dxa"/>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单一集团客户授信集中度</w:t>
            </w:r>
          </w:p>
        </w:tc>
        <w:tc>
          <w:tcPr>
            <w:tcW w:w="2694" w:type="dxa"/>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15%</w:t>
            </w:r>
          </w:p>
        </w:tc>
        <w:tc>
          <w:tcPr>
            <w:tcW w:w="2268" w:type="dxa"/>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7.39</w:t>
            </w:r>
            <w:r>
              <w:rPr>
                <w:rFonts w:asciiTheme="minorEastAsia" w:eastAsiaTheme="minorEastAsia" w:hAnsiTheme="minorEastAsia"/>
                <w:sz w:val="24"/>
                <w:szCs w:val="24"/>
              </w:rPr>
              <w:t>%</w:t>
            </w:r>
          </w:p>
        </w:tc>
      </w:tr>
      <w:tr w:rsidR="008768CC" w:rsidTr="00293A0E">
        <w:trPr>
          <w:trHeight w:val="397"/>
          <w:jc w:val="center"/>
        </w:trPr>
        <w:tc>
          <w:tcPr>
            <w:tcW w:w="2943" w:type="dxa"/>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单一客户贷款集中度</w:t>
            </w:r>
          </w:p>
        </w:tc>
        <w:tc>
          <w:tcPr>
            <w:tcW w:w="2694" w:type="dxa"/>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10%</w:t>
            </w:r>
          </w:p>
        </w:tc>
        <w:tc>
          <w:tcPr>
            <w:tcW w:w="2268" w:type="dxa"/>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2.95</w:t>
            </w:r>
            <w:r>
              <w:rPr>
                <w:rFonts w:asciiTheme="minorEastAsia" w:eastAsiaTheme="minorEastAsia" w:hAnsiTheme="minorEastAsia"/>
                <w:sz w:val="24"/>
                <w:szCs w:val="24"/>
              </w:rPr>
              <w:t>%</w:t>
            </w:r>
          </w:p>
        </w:tc>
      </w:tr>
    </w:tbl>
    <w:p w:rsidR="008768CC" w:rsidRDefault="008768CC" w:rsidP="008768CC">
      <w:pPr>
        <w:spacing w:beforeLines="100" w:before="312" w:afterLines="50" w:after="156" w:line="500" w:lineRule="exact"/>
        <w:ind w:right="175" w:firstLineChars="0" w:firstLine="0"/>
        <w:jc w:val="righ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lastRenderedPageBreak/>
        <w:t>单位：人民币万元</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1108"/>
        <w:gridCol w:w="2080"/>
        <w:gridCol w:w="2109"/>
      </w:tblGrid>
      <w:tr w:rsidR="008768CC" w:rsidTr="00293A0E">
        <w:trPr>
          <w:trHeight w:val="397"/>
          <w:jc w:val="center"/>
        </w:trPr>
        <w:tc>
          <w:tcPr>
            <w:tcW w:w="2075" w:type="pct"/>
            <w:noWrap/>
            <w:vAlign w:val="center"/>
          </w:tcPr>
          <w:p w:rsidR="008768CC" w:rsidRDefault="008768CC" w:rsidP="00293A0E">
            <w:pPr>
              <w:spacing w:line="500" w:lineRule="exact"/>
              <w:ind w:firstLineChars="0" w:firstLine="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客户名称</w:t>
            </w:r>
          </w:p>
        </w:tc>
        <w:tc>
          <w:tcPr>
            <w:tcW w:w="614" w:type="pct"/>
            <w:vAlign w:val="center"/>
          </w:tcPr>
          <w:p w:rsidR="008768CC" w:rsidRDefault="008768CC" w:rsidP="00293A0E">
            <w:pPr>
              <w:spacing w:line="500" w:lineRule="exact"/>
              <w:ind w:firstLineChars="0" w:firstLine="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余额</w:t>
            </w:r>
          </w:p>
        </w:tc>
        <w:tc>
          <w:tcPr>
            <w:tcW w:w="1147" w:type="pct"/>
            <w:noWrap/>
            <w:vAlign w:val="center"/>
          </w:tcPr>
          <w:p w:rsidR="008768CC" w:rsidRDefault="008768CC" w:rsidP="00293A0E">
            <w:pPr>
              <w:spacing w:line="500" w:lineRule="exact"/>
              <w:ind w:firstLineChars="0" w:firstLine="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占资本净额比例</w:t>
            </w:r>
          </w:p>
        </w:tc>
        <w:tc>
          <w:tcPr>
            <w:tcW w:w="1163" w:type="pct"/>
            <w:noWrap/>
            <w:vAlign w:val="center"/>
          </w:tcPr>
          <w:p w:rsidR="008768CC" w:rsidRDefault="008768CC" w:rsidP="00293A0E">
            <w:pPr>
              <w:spacing w:line="500" w:lineRule="exact"/>
              <w:ind w:firstLineChars="0" w:firstLine="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占贷款总额比例</w:t>
            </w:r>
          </w:p>
        </w:tc>
      </w:tr>
      <w:tr w:rsidR="008768CC" w:rsidTr="00293A0E">
        <w:trPr>
          <w:trHeight w:val="340"/>
          <w:jc w:val="center"/>
        </w:trPr>
        <w:tc>
          <w:tcPr>
            <w:tcW w:w="2075"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茂名市新海天投资有限公司</w:t>
            </w:r>
          </w:p>
        </w:tc>
        <w:tc>
          <w:tcPr>
            <w:tcW w:w="614" w:type="pct"/>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6200</w:t>
            </w:r>
          </w:p>
        </w:tc>
        <w:tc>
          <w:tcPr>
            <w:tcW w:w="1147"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2.95%</w:t>
            </w:r>
          </w:p>
        </w:tc>
        <w:tc>
          <w:tcPr>
            <w:tcW w:w="1163"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0.4</w:t>
            </w:r>
            <w:r>
              <w:rPr>
                <w:rFonts w:asciiTheme="minorEastAsia" w:eastAsiaTheme="minorEastAsia" w:hAnsiTheme="minorEastAsia" w:cstheme="minorBidi" w:hint="eastAsia"/>
                <w:sz w:val="24"/>
                <w:szCs w:val="24"/>
              </w:rPr>
              <w:t>5%</w:t>
            </w:r>
          </w:p>
        </w:tc>
      </w:tr>
      <w:tr w:rsidR="008768CC" w:rsidTr="00293A0E">
        <w:trPr>
          <w:trHeight w:val="340"/>
          <w:jc w:val="center"/>
        </w:trPr>
        <w:tc>
          <w:tcPr>
            <w:tcW w:w="2075"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广东美加华旅游开发有限公司</w:t>
            </w:r>
          </w:p>
        </w:tc>
        <w:tc>
          <w:tcPr>
            <w:tcW w:w="614" w:type="pct"/>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6100</w:t>
            </w:r>
          </w:p>
        </w:tc>
        <w:tc>
          <w:tcPr>
            <w:tcW w:w="1147"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2.91%</w:t>
            </w:r>
          </w:p>
        </w:tc>
        <w:tc>
          <w:tcPr>
            <w:tcW w:w="1163"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0.45</w:t>
            </w:r>
            <w:r>
              <w:rPr>
                <w:rFonts w:asciiTheme="minorEastAsia" w:eastAsiaTheme="minorEastAsia" w:hAnsiTheme="minorEastAsia" w:cstheme="minorBidi" w:hint="eastAsia"/>
                <w:sz w:val="24"/>
                <w:szCs w:val="24"/>
              </w:rPr>
              <w:t>%</w:t>
            </w:r>
          </w:p>
        </w:tc>
      </w:tr>
      <w:tr w:rsidR="008768CC" w:rsidTr="00293A0E">
        <w:trPr>
          <w:trHeight w:val="340"/>
          <w:jc w:val="center"/>
        </w:trPr>
        <w:tc>
          <w:tcPr>
            <w:tcW w:w="2075"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茂名</w:t>
            </w:r>
            <w:proofErr w:type="gramStart"/>
            <w:r>
              <w:rPr>
                <w:rFonts w:asciiTheme="minorEastAsia" w:eastAsiaTheme="minorEastAsia" w:hAnsiTheme="minorEastAsia" w:cstheme="minorBidi" w:hint="eastAsia"/>
                <w:sz w:val="24"/>
                <w:szCs w:val="24"/>
              </w:rPr>
              <w:t>市联升香料</w:t>
            </w:r>
            <w:proofErr w:type="gramEnd"/>
            <w:r>
              <w:rPr>
                <w:rFonts w:asciiTheme="minorEastAsia" w:eastAsiaTheme="minorEastAsia" w:hAnsiTheme="minorEastAsia" w:cstheme="minorBidi" w:hint="eastAsia"/>
                <w:sz w:val="24"/>
                <w:szCs w:val="24"/>
              </w:rPr>
              <w:t>有限公司</w:t>
            </w:r>
          </w:p>
        </w:tc>
        <w:tc>
          <w:tcPr>
            <w:tcW w:w="614" w:type="pct"/>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5800</w:t>
            </w:r>
          </w:p>
        </w:tc>
        <w:tc>
          <w:tcPr>
            <w:tcW w:w="1147"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2.76%</w:t>
            </w:r>
          </w:p>
        </w:tc>
        <w:tc>
          <w:tcPr>
            <w:tcW w:w="1163"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0.42</w:t>
            </w:r>
            <w:r>
              <w:rPr>
                <w:rFonts w:asciiTheme="minorEastAsia" w:eastAsiaTheme="minorEastAsia" w:hAnsiTheme="minorEastAsia" w:cstheme="minorBidi" w:hint="eastAsia"/>
                <w:sz w:val="24"/>
                <w:szCs w:val="24"/>
              </w:rPr>
              <w:t>%</w:t>
            </w:r>
          </w:p>
        </w:tc>
      </w:tr>
      <w:tr w:rsidR="008768CC" w:rsidTr="00293A0E">
        <w:trPr>
          <w:trHeight w:val="340"/>
          <w:jc w:val="center"/>
        </w:trPr>
        <w:tc>
          <w:tcPr>
            <w:tcW w:w="2075"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信宜广厦建设集团有限公司</w:t>
            </w:r>
          </w:p>
        </w:tc>
        <w:tc>
          <w:tcPr>
            <w:tcW w:w="614" w:type="pct"/>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4970</w:t>
            </w:r>
          </w:p>
        </w:tc>
        <w:tc>
          <w:tcPr>
            <w:tcW w:w="1147"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2.37%</w:t>
            </w:r>
          </w:p>
        </w:tc>
        <w:tc>
          <w:tcPr>
            <w:tcW w:w="1163"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0.36</w:t>
            </w:r>
            <w:r>
              <w:rPr>
                <w:rFonts w:asciiTheme="minorEastAsia" w:eastAsiaTheme="minorEastAsia" w:hAnsiTheme="minorEastAsia" w:cstheme="minorBidi" w:hint="eastAsia"/>
                <w:sz w:val="24"/>
                <w:szCs w:val="24"/>
              </w:rPr>
              <w:t>%</w:t>
            </w:r>
          </w:p>
        </w:tc>
      </w:tr>
      <w:tr w:rsidR="008768CC" w:rsidTr="00293A0E">
        <w:trPr>
          <w:trHeight w:val="340"/>
          <w:jc w:val="center"/>
        </w:trPr>
        <w:tc>
          <w:tcPr>
            <w:tcW w:w="2075"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信宜市新城国际大酒店有限公司</w:t>
            </w:r>
          </w:p>
        </w:tc>
        <w:tc>
          <w:tcPr>
            <w:tcW w:w="614" w:type="pct"/>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4800</w:t>
            </w:r>
          </w:p>
        </w:tc>
        <w:tc>
          <w:tcPr>
            <w:tcW w:w="1147"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2.29%</w:t>
            </w:r>
          </w:p>
        </w:tc>
        <w:tc>
          <w:tcPr>
            <w:tcW w:w="1163"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0.35</w:t>
            </w:r>
            <w:r>
              <w:rPr>
                <w:rFonts w:asciiTheme="minorEastAsia" w:eastAsiaTheme="minorEastAsia" w:hAnsiTheme="minorEastAsia" w:cstheme="minorBidi" w:hint="eastAsia"/>
                <w:sz w:val="24"/>
                <w:szCs w:val="24"/>
              </w:rPr>
              <w:t>%</w:t>
            </w:r>
          </w:p>
        </w:tc>
      </w:tr>
      <w:tr w:rsidR="008768CC" w:rsidTr="00293A0E">
        <w:trPr>
          <w:trHeight w:val="340"/>
          <w:jc w:val="center"/>
        </w:trPr>
        <w:tc>
          <w:tcPr>
            <w:tcW w:w="2075"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信宜市竹黄岭水电有限公司</w:t>
            </w:r>
          </w:p>
        </w:tc>
        <w:tc>
          <w:tcPr>
            <w:tcW w:w="614" w:type="pct"/>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4260</w:t>
            </w:r>
          </w:p>
        </w:tc>
        <w:tc>
          <w:tcPr>
            <w:tcW w:w="1147"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2.03%</w:t>
            </w:r>
          </w:p>
        </w:tc>
        <w:tc>
          <w:tcPr>
            <w:tcW w:w="1163"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0.31</w:t>
            </w:r>
            <w:r>
              <w:rPr>
                <w:rFonts w:asciiTheme="minorEastAsia" w:eastAsiaTheme="minorEastAsia" w:hAnsiTheme="minorEastAsia" w:cstheme="minorBidi" w:hint="eastAsia"/>
                <w:sz w:val="24"/>
                <w:szCs w:val="24"/>
              </w:rPr>
              <w:t>%</w:t>
            </w:r>
          </w:p>
        </w:tc>
      </w:tr>
      <w:tr w:rsidR="008768CC" w:rsidTr="00293A0E">
        <w:trPr>
          <w:trHeight w:val="340"/>
          <w:jc w:val="center"/>
        </w:trPr>
        <w:tc>
          <w:tcPr>
            <w:tcW w:w="2075"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高州市湖塘畜牧水产发展有限公司</w:t>
            </w:r>
          </w:p>
        </w:tc>
        <w:tc>
          <w:tcPr>
            <w:tcW w:w="614" w:type="pct"/>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3989.94</w:t>
            </w:r>
          </w:p>
        </w:tc>
        <w:tc>
          <w:tcPr>
            <w:tcW w:w="1147"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1.9%</w:t>
            </w:r>
          </w:p>
        </w:tc>
        <w:tc>
          <w:tcPr>
            <w:tcW w:w="1163"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0.29</w:t>
            </w:r>
            <w:r>
              <w:rPr>
                <w:rFonts w:asciiTheme="minorEastAsia" w:eastAsiaTheme="minorEastAsia" w:hAnsiTheme="minorEastAsia" w:cstheme="minorBidi" w:hint="eastAsia"/>
                <w:sz w:val="24"/>
                <w:szCs w:val="24"/>
              </w:rPr>
              <w:t>%</w:t>
            </w:r>
          </w:p>
        </w:tc>
      </w:tr>
      <w:tr w:rsidR="008768CC" w:rsidTr="00293A0E">
        <w:trPr>
          <w:trHeight w:val="340"/>
          <w:jc w:val="center"/>
        </w:trPr>
        <w:tc>
          <w:tcPr>
            <w:tcW w:w="2075"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广东吉洲置业投资有限公司</w:t>
            </w:r>
          </w:p>
        </w:tc>
        <w:tc>
          <w:tcPr>
            <w:tcW w:w="614" w:type="pct"/>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3890</w:t>
            </w:r>
          </w:p>
        </w:tc>
        <w:tc>
          <w:tcPr>
            <w:tcW w:w="1147"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1.85%</w:t>
            </w:r>
          </w:p>
        </w:tc>
        <w:tc>
          <w:tcPr>
            <w:tcW w:w="1163"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0.28</w:t>
            </w:r>
            <w:r>
              <w:rPr>
                <w:rFonts w:asciiTheme="minorEastAsia" w:eastAsiaTheme="minorEastAsia" w:hAnsiTheme="minorEastAsia" w:cstheme="minorBidi" w:hint="eastAsia"/>
                <w:sz w:val="24"/>
                <w:szCs w:val="24"/>
              </w:rPr>
              <w:t>%</w:t>
            </w:r>
          </w:p>
        </w:tc>
      </w:tr>
      <w:tr w:rsidR="008768CC" w:rsidTr="00293A0E">
        <w:trPr>
          <w:trHeight w:val="340"/>
          <w:jc w:val="center"/>
        </w:trPr>
        <w:tc>
          <w:tcPr>
            <w:tcW w:w="2075"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茂名市电白永信装饰工程有限公司</w:t>
            </w:r>
          </w:p>
        </w:tc>
        <w:tc>
          <w:tcPr>
            <w:tcW w:w="614" w:type="pct"/>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3870</w:t>
            </w:r>
          </w:p>
        </w:tc>
        <w:tc>
          <w:tcPr>
            <w:tcW w:w="1147"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1.84%</w:t>
            </w:r>
          </w:p>
        </w:tc>
        <w:tc>
          <w:tcPr>
            <w:tcW w:w="1163"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0.28</w:t>
            </w:r>
            <w:r>
              <w:rPr>
                <w:rFonts w:asciiTheme="minorEastAsia" w:eastAsiaTheme="minorEastAsia" w:hAnsiTheme="minorEastAsia" w:cstheme="minorBidi" w:hint="eastAsia"/>
                <w:sz w:val="24"/>
                <w:szCs w:val="24"/>
              </w:rPr>
              <w:t>%</w:t>
            </w:r>
          </w:p>
        </w:tc>
      </w:tr>
      <w:tr w:rsidR="008768CC" w:rsidTr="00293A0E">
        <w:trPr>
          <w:trHeight w:val="340"/>
          <w:jc w:val="center"/>
        </w:trPr>
        <w:tc>
          <w:tcPr>
            <w:tcW w:w="2075"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茂名大诚家居营销有限公司</w:t>
            </w:r>
          </w:p>
        </w:tc>
        <w:tc>
          <w:tcPr>
            <w:tcW w:w="614" w:type="pct"/>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3600</w:t>
            </w:r>
          </w:p>
        </w:tc>
        <w:tc>
          <w:tcPr>
            <w:tcW w:w="1147"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1.72%</w:t>
            </w:r>
          </w:p>
        </w:tc>
        <w:tc>
          <w:tcPr>
            <w:tcW w:w="1163" w:type="pct"/>
            <w:noWrap/>
          </w:tcPr>
          <w:p w:rsidR="008768CC" w:rsidRDefault="008768CC" w:rsidP="00293A0E">
            <w:pPr>
              <w:widowControl w:val="0"/>
              <w:spacing w:line="500" w:lineRule="exact"/>
              <w:ind w:firstLineChars="0" w:firstLine="0"/>
              <w:jc w:val="left"/>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0.26</w:t>
            </w:r>
            <w:r>
              <w:rPr>
                <w:rFonts w:asciiTheme="minorEastAsia" w:eastAsiaTheme="minorEastAsia" w:hAnsiTheme="minorEastAsia" w:cstheme="minorBidi" w:hint="eastAsia"/>
                <w:sz w:val="24"/>
                <w:szCs w:val="24"/>
              </w:rPr>
              <w:t>%</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w:t>
      </w:r>
      <w:r>
        <w:rPr>
          <w:rFonts w:asciiTheme="minorEastAsia" w:eastAsiaTheme="minorEastAsia" w:hAnsiTheme="minorEastAsia" w:cs="宋体" w:hint="eastAsia"/>
          <w:b/>
          <w:kern w:val="0"/>
          <w:sz w:val="24"/>
          <w:szCs w:val="24"/>
        </w:rPr>
        <w:t>现金及存放中央银行款项</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截至报告期末，本行现金及存放中央银行款项余额28.95亿元，比年初增加10.84亿元，增幅59.89</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。主要是本行为提高备付水平，保持流动性充裕，因此增加存放中央银行款项。</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3.</w:t>
      </w:r>
      <w:r>
        <w:rPr>
          <w:rFonts w:asciiTheme="minorEastAsia" w:eastAsiaTheme="minorEastAsia" w:hAnsiTheme="minorEastAsia" w:cs="宋体" w:hint="eastAsia"/>
          <w:b/>
          <w:kern w:val="0"/>
          <w:sz w:val="24"/>
          <w:szCs w:val="24"/>
        </w:rPr>
        <w:t>存放同业款项和买入返售金融资产</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截至报告期末，本行存放同业款项余额24.23亿元，比年初减少0.91亿元，降幅3.61</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，买入返售金融资产余额继续保持为0，主要是本行基于资产配置效益及流动性综合考虑，减少买入返售金融资产配置额度，同时降低了存放同业款项配置额度。</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4.</w:t>
      </w:r>
      <w:r>
        <w:rPr>
          <w:rFonts w:asciiTheme="minorEastAsia" w:eastAsiaTheme="minorEastAsia" w:hAnsiTheme="minorEastAsia" w:cs="宋体" w:hint="eastAsia"/>
          <w:b/>
          <w:kern w:val="0"/>
          <w:sz w:val="24"/>
          <w:szCs w:val="24"/>
        </w:rPr>
        <w:t>投资类资产</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截至报告期末，本行投资类资产余额</w:t>
      </w:r>
      <w:r>
        <w:rPr>
          <w:rFonts w:asciiTheme="minorEastAsia" w:eastAsiaTheme="minorEastAsia" w:hAnsiTheme="minorEastAsia" w:cs="宋体"/>
          <w:kern w:val="0"/>
          <w:sz w:val="24"/>
          <w:szCs w:val="24"/>
        </w:rPr>
        <w:t>8</w:t>
      </w:r>
      <w:r>
        <w:rPr>
          <w:rFonts w:asciiTheme="minorEastAsia" w:eastAsiaTheme="minorEastAsia" w:hAnsiTheme="minorEastAsia" w:cs="宋体" w:hint="eastAsia"/>
          <w:kern w:val="0"/>
          <w:sz w:val="24"/>
          <w:szCs w:val="24"/>
        </w:rPr>
        <w:t>3.14亿元，比年初减少6.64亿元，降幅7.4</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，主要是本行优化资产配置结构，同时保持流动性合理充裕，助推全行业</w:t>
      </w:r>
      <w:proofErr w:type="gramStart"/>
      <w:r>
        <w:rPr>
          <w:rFonts w:asciiTheme="minorEastAsia" w:eastAsiaTheme="minorEastAsia" w:hAnsiTheme="minorEastAsia" w:cs="宋体" w:hint="eastAsia"/>
          <w:kern w:val="0"/>
          <w:sz w:val="24"/>
          <w:szCs w:val="24"/>
        </w:rPr>
        <w:t>务</w:t>
      </w:r>
      <w:proofErr w:type="gramEnd"/>
      <w:r>
        <w:rPr>
          <w:rFonts w:asciiTheme="minorEastAsia" w:eastAsiaTheme="minorEastAsia" w:hAnsiTheme="minorEastAsia" w:cs="宋体" w:hint="eastAsia"/>
          <w:kern w:val="0"/>
          <w:sz w:val="24"/>
          <w:szCs w:val="24"/>
        </w:rPr>
        <w:t>高质量发展。</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500" w:lineRule="exact"/>
        <w:ind w:firstLineChars="0" w:firstLine="0"/>
        <w:jc w:val="right"/>
        <w:rPr>
          <w:rFonts w:asciiTheme="minorEastAsia" w:eastAsiaTheme="minorEastAsia" w:hAnsiTheme="minorEastAsia" w:cs="宋体"/>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5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单位：人民币万元</w:t>
      </w:r>
    </w:p>
    <w:tbl>
      <w:tblPr>
        <w:tblW w:w="4998" w:type="pct"/>
        <w:jc w:val="center"/>
        <w:tblLook w:val="04A0" w:firstRow="1" w:lastRow="0" w:firstColumn="1" w:lastColumn="0" w:noHBand="0" w:noVBand="1"/>
      </w:tblPr>
      <w:tblGrid>
        <w:gridCol w:w="2877"/>
        <w:gridCol w:w="1325"/>
        <w:gridCol w:w="881"/>
        <w:gridCol w:w="1230"/>
        <w:gridCol w:w="787"/>
        <w:gridCol w:w="1230"/>
        <w:gridCol w:w="787"/>
      </w:tblGrid>
      <w:tr w:rsidR="008768CC" w:rsidTr="00293A0E">
        <w:trPr>
          <w:trHeight w:val="340"/>
          <w:jc w:val="center"/>
        </w:trPr>
        <w:tc>
          <w:tcPr>
            <w:tcW w:w="1347" w:type="pct"/>
            <w:vMerge w:val="restart"/>
            <w:tcBorders>
              <w:top w:val="single" w:sz="4" w:space="0" w:color="auto"/>
              <w:left w:val="single" w:sz="4" w:space="0" w:color="auto"/>
              <w:bottom w:val="single" w:sz="4" w:space="0" w:color="000000"/>
              <w:right w:val="single" w:sz="4" w:space="0" w:color="auto"/>
            </w:tcBorders>
            <w:noWrap/>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项目</w:t>
            </w:r>
          </w:p>
        </w:tc>
        <w:tc>
          <w:tcPr>
            <w:tcW w:w="1314" w:type="pct"/>
            <w:gridSpan w:val="2"/>
            <w:tcBorders>
              <w:top w:val="single" w:sz="4" w:space="0" w:color="auto"/>
              <w:left w:val="nil"/>
              <w:bottom w:val="single" w:sz="4" w:space="0" w:color="auto"/>
              <w:right w:val="single" w:sz="4" w:space="0" w:color="auto"/>
            </w:tcBorders>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2023年</w:t>
            </w:r>
          </w:p>
        </w:tc>
        <w:tc>
          <w:tcPr>
            <w:tcW w:w="1141" w:type="pct"/>
            <w:gridSpan w:val="2"/>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2年</w:t>
            </w:r>
          </w:p>
        </w:tc>
        <w:tc>
          <w:tcPr>
            <w:tcW w:w="1196" w:type="pct"/>
            <w:gridSpan w:val="2"/>
            <w:tcBorders>
              <w:top w:val="single" w:sz="4" w:space="0" w:color="auto"/>
              <w:left w:val="single" w:sz="4" w:space="0" w:color="auto"/>
              <w:bottom w:val="single" w:sz="4" w:space="0" w:color="auto"/>
              <w:right w:val="single" w:sz="4" w:space="0" w:color="000000"/>
            </w:tcBorders>
            <w:noWrap/>
            <w:vAlign w:val="center"/>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1年</w:t>
            </w:r>
          </w:p>
        </w:tc>
      </w:tr>
      <w:tr w:rsidR="008768CC" w:rsidTr="00293A0E">
        <w:trPr>
          <w:trHeight w:val="340"/>
          <w:jc w:val="center"/>
        </w:trPr>
        <w:tc>
          <w:tcPr>
            <w:tcW w:w="1347" w:type="pct"/>
            <w:vMerge/>
            <w:tcBorders>
              <w:top w:val="single" w:sz="4" w:space="0" w:color="auto"/>
              <w:left w:val="single" w:sz="4" w:space="0" w:color="auto"/>
              <w:bottom w:val="single" w:sz="4" w:space="0" w:color="000000"/>
              <w:right w:val="single" w:sz="4" w:space="0" w:color="auto"/>
            </w:tcBorders>
            <w:vAlign w:val="center"/>
          </w:tcPr>
          <w:p w:rsidR="008768CC" w:rsidRDefault="008768CC" w:rsidP="00293A0E">
            <w:pPr>
              <w:spacing w:line="480" w:lineRule="exact"/>
              <w:ind w:firstLineChars="0" w:firstLine="0"/>
              <w:rPr>
                <w:rFonts w:asciiTheme="minorEastAsia" w:eastAsiaTheme="minorEastAsia" w:hAnsiTheme="minorEastAsia" w:cs="宋体"/>
                <w:b/>
                <w:kern w:val="0"/>
                <w:sz w:val="24"/>
                <w:szCs w:val="24"/>
              </w:rPr>
            </w:pPr>
          </w:p>
        </w:tc>
        <w:tc>
          <w:tcPr>
            <w:tcW w:w="783" w:type="pct"/>
            <w:tcBorders>
              <w:top w:val="single" w:sz="4" w:space="0" w:color="auto"/>
              <w:left w:val="nil"/>
              <w:bottom w:val="single" w:sz="4" w:space="0" w:color="auto"/>
              <w:right w:val="single" w:sz="4" w:space="0" w:color="auto"/>
            </w:tcBorders>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530" w:type="pct"/>
            <w:tcBorders>
              <w:top w:val="single" w:sz="4" w:space="0" w:color="auto"/>
              <w:left w:val="single" w:sz="4" w:space="0" w:color="auto"/>
              <w:bottom w:val="single" w:sz="4" w:space="0" w:color="auto"/>
              <w:right w:val="single" w:sz="4" w:space="0" w:color="auto"/>
            </w:tcBorders>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c>
          <w:tcPr>
            <w:tcW w:w="697"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443"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c>
          <w:tcPr>
            <w:tcW w:w="728"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467"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r>
      <w:tr w:rsidR="008768CC" w:rsidTr="00293A0E">
        <w:trPr>
          <w:trHeight w:val="340"/>
          <w:jc w:val="center"/>
        </w:trPr>
        <w:tc>
          <w:tcPr>
            <w:tcW w:w="1347" w:type="pct"/>
            <w:tcBorders>
              <w:top w:val="nil"/>
              <w:left w:val="single" w:sz="4" w:space="0" w:color="auto"/>
              <w:bottom w:val="single" w:sz="4" w:space="0" w:color="auto"/>
              <w:right w:val="single" w:sz="4" w:space="0" w:color="auto"/>
            </w:tcBorders>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可供出售金融资产</w:t>
            </w:r>
          </w:p>
        </w:tc>
        <w:tc>
          <w:tcPr>
            <w:tcW w:w="783" w:type="pct"/>
            <w:tcBorders>
              <w:top w:val="single" w:sz="4" w:space="0" w:color="auto"/>
              <w:left w:val="nil"/>
              <w:bottom w:val="single" w:sz="4" w:space="0" w:color="auto"/>
              <w:right w:val="single" w:sz="4" w:space="0" w:color="auto"/>
            </w:tcBorders>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530" w:type="pct"/>
            <w:tcBorders>
              <w:top w:val="single" w:sz="4" w:space="0" w:color="auto"/>
              <w:left w:val="single" w:sz="4" w:space="0" w:color="auto"/>
              <w:bottom w:val="single" w:sz="4" w:space="0" w:color="auto"/>
              <w:right w:val="single" w:sz="4" w:space="0" w:color="auto"/>
            </w:tcBorders>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697" w:type="pct"/>
            <w:tcBorders>
              <w:top w:val="single" w:sz="4" w:space="0" w:color="auto"/>
              <w:left w:val="single" w:sz="4" w:space="0" w:color="auto"/>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443" w:type="pct"/>
            <w:tcBorders>
              <w:top w:val="nil"/>
              <w:left w:val="single" w:sz="4" w:space="0" w:color="auto"/>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728" w:type="pct"/>
            <w:tcBorders>
              <w:top w:val="nil"/>
              <w:left w:val="nil"/>
              <w:bottom w:val="single" w:sz="4" w:space="0" w:color="000000"/>
              <w:right w:val="single" w:sz="4" w:space="0" w:color="000000"/>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467" w:type="pct"/>
            <w:tcBorders>
              <w:top w:val="nil"/>
              <w:left w:val="nil"/>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r>
      <w:tr w:rsidR="008768CC" w:rsidTr="00293A0E">
        <w:trPr>
          <w:trHeight w:val="340"/>
          <w:jc w:val="center"/>
        </w:trPr>
        <w:tc>
          <w:tcPr>
            <w:tcW w:w="1347" w:type="pct"/>
            <w:tcBorders>
              <w:top w:val="nil"/>
              <w:left w:val="single" w:sz="4" w:space="0" w:color="auto"/>
              <w:bottom w:val="single" w:sz="4" w:space="0" w:color="auto"/>
              <w:right w:val="single" w:sz="4" w:space="0" w:color="auto"/>
            </w:tcBorders>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持有至到期投资（减值后）</w:t>
            </w:r>
          </w:p>
        </w:tc>
        <w:tc>
          <w:tcPr>
            <w:tcW w:w="783" w:type="pct"/>
            <w:tcBorders>
              <w:top w:val="single" w:sz="4" w:space="0" w:color="auto"/>
              <w:left w:val="nil"/>
              <w:bottom w:val="single" w:sz="4" w:space="0" w:color="auto"/>
              <w:right w:val="single" w:sz="4" w:space="0" w:color="auto"/>
            </w:tcBorders>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530" w:type="pct"/>
            <w:tcBorders>
              <w:top w:val="single" w:sz="4" w:space="0" w:color="auto"/>
              <w:left w:val="single" w:sz="4" w:space="0" w:color="auto"/>
              <w:bottom w:val="single" w:sz="4" w:space="0" w:color="auto"/>
              <w:right w:val="single" w:sz="4" w:space="0" w:color="auto"/>
            </w:tcBorders>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697" w:type="pct"/>
            <w:tcBorders>
              <w:top w:val="single" w:sz="4" w:space="0" w:color="auto"/>
              <w:left w:val="single" w:sz="4" w:space="0" w:color="auto"/>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443" w:type="pct"/>
            <w:tcBorders>
              <w:top w:val="nil"/>
              <w:left w:val="single" w:sz="4" w:space="0" w:color="auto"/>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728" w:type="pct"/>
            <w:tcBorders>
              <w:top w:val="nil"/>
              <w:left w:val="nil"/>
              <w:bottom w:val="single" w:sz="4" w:space="0" w:color="000000"/>
              <w:right w:val="single" w:sz="4" w:space="0" w:color="000000"/>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467" w:type="pct"/>
            <w:tcBorders>
              <w:top w:val="nil"/>
              <w:left w:val="nil"/>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r>
      <w:tr w:rsidR="008768CC" w:rsidTr="00293A0E">
        <w:trPr>
          <w:trHeight w:val="340"/>
          <w:jc w:val="center"/>
        </w:trPr>
        <w:tc>
          <w:tcPr>
            <w:tcW w:w="1347" w:type="pct"/>
            <w:tcBorders>
              <w:top w:val="nil"/>
              <w:left w:val="single" w:sz="4" w:space="0" w:color="auto"/>
              <w:bottom w:val="single" w:sz="4" w:space="0" w:color="auto"/>
              <w:right w:val="single" w:sz="4" w:space="0" w:color="auto"/>
            </w:tcBorders>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其他债权投资</w:t>
            </w:r>
          </w:p>
        </w:tc>
        <w:tc>
          <w:tcPr>
            <w:tcW w:w="783" w:type="pct"/>
            <w:tcBorders>
              <w:top w:val="single" w:sz="4" w:space="0" w:color="auto"/>
              <w:left w:val="nil"/>
              <w:bottom w:val="single" w:sz="4" w:space="0" w:color="auto"/>
              <w:right w:val="single" w:sz="4" w:space="0" w:color="auto"/>
            </w:tcBorders>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530" w:type="pct"/>
            <w:tcBorders>
              <w:top w:val="single" w:sz="4" w:space="0" w:color="auto"/>
              <w:left w:val="single" w:sz="4" w:space="0" w:color="auto"/>
              <w:bottom w:val="single" w:sz="4" w:space="0" w:color="auto"/>
              <w:right w:val="single" w:sz="4" w:space="0" w:color="auto"/>
            </w:tcBorders>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697" w:type="pct"/>
            <w:tcBorders>
              <w:top w:val="single" w:sz="4" w:space="0" w:color="auto"/>
              <w:left w:val="single" w:sz="4" w:space="0" w:color="auto"/>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443" w:type="pct"/>
            <w:tcBorders>
              <w:top w:val="nil"/>
              <w:left w:val="single" w:sz="4" w:space="0" w:color="auto"/>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728" w:type="pct"/>
            <w:tcBorders>
              <w:top w:val="nil"/>
              <w:left w:val="nil"/>
              <w:bottom w:val="single" w:sz="4" w:space="0" w:color="000000"/>
              <w:right w:val="single" w:sz="4" w:space="0" w:color="000000"/>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19,807.29</w:t>
            </w:r>
          </w:p>
        </w:tc>
        <w:tc>
          <w:tcPr>
            <w:tcW w:w="467" w:type="pct"/>
            <w:tcBorders>
              <w:top w:val="nil"/>
              <w:left w:val="nil"/>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2.39%</w:t>
            </w:r>
          </w:p>
        </w:tc>
      </w:tr>
      <w:tr w:rsidR="008768CC" w:rsidTr="00293A0E">
        <w:trPr>
          <w:trHeight w:val="340"/>
          <w:jc w:val="center"/>
        </w:trPr>
        <w:tc>
          <w:tcPr>
            <w:tcW w:w="1347" w:type="pct"/>
            <w:tcBorders>
              <w:top w:val="nil"/>
              <w:left w:val="single" w:sz="4" w:space="0" w:color="auto"/>
              <w:bottom w:val="single" w:sz="4" w:space="0" w:color="auto"/>
              <w:right w:val="single" w:sz="4" w:space="0" w:color="auto"/>
            </w:tcBorders>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债权投资</w:t>
            </w:r>
          </w:p>
        </w:tc>
        <w:tc>
          <w:tcPr>
            <w:tcW w:w="783" w:type="pct"/>
            <w:tcBorders>
              <w:top w:val="single" w:sz="4" w:space="0" w:color="auto"/>
              <w:left w:val="nil"/>
              <w:bottom w:val="single" w:sz="4" w:space="0" w:color="auto"/>
              <w:right w:val="single" w:sz="4" w:space="0" w:color="auto"/>
            </w:tcBorders>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801,906.61</w:t>
            </w:r>
          </w:p>
        </w:tc>
        <w:tc>
          <w:tcPr>
            <w:tcW w:w="530" w:type="pct"/>
            <w:tcBorders>
              <w:top w:val="single" w:sz="4" w:space="0" w:color="auto"/>
              <w:left w:val="single" w:sz="4" w:space="0" w:color="auto"/>
              <w:bottom w:val="single" w:sz="4" w:space="0" w:color="auto"/>
              <w:right w:val="single" w:sz="4" w:space="0" w:color="auto"/>
            </w:tcBorders>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96.</w:t>
            </w:r>
            <w:r>
              <w:rPr>
                <w:rFonts w:asciiTheme="minorEastAsia" w:eastAsiaTheme="minorEastAsia" w:hAnsiTheme="minorEastAsia" w:hint="eastAsia"/>
                <w:sz w:val="24"/>
                <w:szCs w:val="24"/>
              </w:rPr>
              <w:t>45</w:t>
            </w:r>
            <w:r>
              <w:rPr>
                <w:rFonts w:asciiTheme="minorEastAsia" w:eastAsiaTheme="minorEastAsia" w:hAnsiTheme="minorEastAsia"/>
                <w:sz w:val="24"/>
                <w:szCs w:val="24"/>
              </w:rPr>
              <w:t>%</w:t>
            </w:r>
          </w:p>
        </w:tc>
        <w:tc>
          <w:tcPr>
            <w:tcW w:w="697" w:type="pct"/>
            <w:tcBorders>
              <w:top w:val="single" w:sz="4" w:space="0" w:color="auto"/>
              <w:left w:val="single" w:sz="4" w:space="0" w:color="auto"/>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862,597.57</w:t>
            </w:r>
          </w:p>
        </w:tc>
        <w:tc>
          <w:tcPr>
            <w:tcW w:w="443" w:type="pct"/>
            <w:tcBorders>
              <w:top w:val="nil"/>
              <w:left w:val="single" w:sz="4" w:space="0" w:color="auto"/>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96.07%</w:t>
            </w:r>
          </w:p>
        </w:tc>
        <w:tc>
          <w:tcPr>
            <w:tcW w:w="728" w:type="pct"/>
            <w:tcBorders>
              <w:top w:val="nil"/>
              <w:left w:val="nil"/>
              <w:bottom w:val="single" w:sz="4" w:space="0" w:color="000000"/>
              <w:right w:val="single" w:sz="4" w:space="0" w:color="000000"/>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770,875.41</w:t>
            </w:r>
          </w:p>
        </w:tc>
        <w:tc>
          <w:tcPr>
            <w:tcW w:w="467" w:type="pct"/>
            <w:tcBorders>
              <w:top w:val="nil"/>
              <w:left w:val="nil"/>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93.03%</w:t>
            </w:r>
          </w:p>
        </w:tc>
      </w:tr>
      <w:tr w:rsidR="008768CC" w:rsidTr="00293A0E">
        <w:trPr>
          <w:trHeight w:val="340"/>
          <w:jc w:val="center"/>
        </w:trPr>
        <w:tc>
          <w:tcPr>
            <w:tcW w:w="1347" w:type="pct"/>
            <w:tcBorders>
              <w:top w:val="nil"/>
              <w:left w:val="single" w:sz="4" w:space="0" w:color="auto"/>
              <w:bottom w:val="single" w:sz="4" w:space="0" w:color="auto"/>
              <w:right w:val="single" w:sz="4" w:space="0" w:color="auto"/>
            </w:tcBorders>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其他权益工具投资</w:t>
            </w:r>
          </w:p>
        </w:tc>
        <w:tc>
          <w:tcPr>
            <w:tcW w:w="783" w:type="pct"/>
            <w:tcBorders>
              <w:top w:val="single" w:sz="4" w:space="0" w:color="auto"/>
              <w:left w:val="nil"/>
              <w:bottom w:val="single" w:sz="4" w:space="0" w:color="auto"/>
              <w:right w:val="single" w:sz="4" w:space="0" w:color="auto"/>
            </w:tcBorders>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29,542.81</w:t>
            </w:r>
          </w:p>
        </w:tc>
        <w:tc>
          <w:tcPr>
            <w:tcW w:w="530" w:type="pct"/>
            <w:tcBorders>
              <w:top w:val="single" w:sz="4" w:space="0" w:color="auto"/>
              <w:left w:val="single" w:sz="4" w:space="0" w:color="auto"/>
              <w:bottom w:val="single" w:sz="4" w:space="0" w:color="auto"/>
              <w:right w:val="single" w:sz="4" w:space="0" w:color="auto"/>
            </w:tcBorders>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55</w:t>
            </w:r>
            <w:r>
              <w:rPr>
                <w:rFonts w:asciiTheme="minorEastAsia" w:eastAsiaTheme="minorEastAsia" w:hAnsiTheme="minorEastAsia"/>
                <w:sz w:val="24"/>
                <w:szCs w:val="24"/>
              </w:rPr>
              <w:t>%</w:t>
            </w:r>
          </w:p>
        </w:tc>
        <w:tc>
          <w:tcPr>
            <w:tcW w:w="697" w:type="pct"/>
            <w:tcBorders>
              <w:top w:val="single" w:sz="4" w:space="0" w:color="auto"/>
              <w:left w:val="single" w:sz="4" w:space="0" w:color="auto"/>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35,286.21</w:t>
            </w:r>
          </w:p>
        </w:tc>
        <w:tc>
          <w:tcPr>
            <w:tcW w:w="443" w:type="pct"/>
            <w:tcBorders>
              <w:top w:val="nil"/>
              <w:left w:val="single" w:sz="4" w:space="0" w:color="auto"/>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3.93%</w:t>
            </w:r>
          </w:p>
        </w:tc>
        <w:tc>
          <w:tcPr>
            <w:tcW w:w="728" w:type="pct"/>
            <w:tcBorders>
              <w:top w:val="nil"/>
              <w:left w:val="nil"/>
              <w:bottom w:val="single" w:sz="4" w:space="0" w:color="000000"/>
              <w:right w:val="single" w:sz="4" w:space="0" w:color="000000"/>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37,970.74</w:t>
            </w:r>
          </w:p>
        </w:tc>
        <w:tc>
          <w:tcPr>
            <w:tcW w:w="467" w:type="pct"/>
            <w:tcBorders>
              <w:top w:val="nil"/>
              <w:left w:val="nil"/>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4.58%</w:t>
            </w:r>
          </w:p>
        </w:tc>
      </w:tr>
      <w:tr w:rsidR="008768CC" w:rsidTr="00293A0E">
        <w:trPr>
          <w:trHeight w:val="340"/>
          <w:jc w:val="center"/>
        </w:trPr>
        <w:tc>
          <w:tcPr>
            <w:tcW w:w="1347" w:type="pct"/>
            <w:tcBorders>
              <w:top w:val="nil"/>
              <w:left w:val="single" w:sz="4" w:space="0" w:color="auto"/>
              <w:bottom w:val="single" w:sz="4" w:space="0" w:color="auto"/>
              <w:right w:val="single" w:sz="4" w:space="0" w:color="auto"/>
            </w:tcBorders>
            <w:noWrap/>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投资类资产总额</w:t>
            </w:r>
          </w:p>
        </w:tc>
        <w:tc>
          <w:tcPr>
            <w:tcW w:w="783" w:type="pct"/>
            <w:tcBorders>
              <w:top w:val="single" w:sz="4" w:space="0" w:color="auto"/>
              <w:left w:val="nil"/>
              <w:bottom w:val="single" w:sz="4" w:space="0" w:color="auto"/>
              <w:right w:val="single" w:sz="4" w:space="0" w:color="auto"/>
            </w:tcBorders>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8</w:t>
            </w:r>
            <w:r>
              <w:rPr>
                <w:rFonts w:asciiTheme="minorEastAsia" w:eastAsiaTheme="minorEastAsia" w:hAnsiTheme="minorEastAsia" w:hint="eastAsia"/>
                <w:sz w:val="24"/>
                <w:szCs w:val="24"/>
              </w:rPr>
              <w:t>31,449.42</w:t>
            </w:r>
            <w:r>
              <w:rPr>
                <w:rFonts w:asciiTheme="minorEastAsia" w:eastAsiaTheme="minorEastAsia" w:hAnsiTheme="minorEastAsia"/>
                <w:sz w:val="24"/>
                <w:szCs w:val="24"/>
              </w:rPr>
              <w:t xml:space="preserve"> </w:t>
            </w:r>
          </w:p>
        </w:tc>
        <w:tc>
          <w:tcPr>
            <w:tcW w:w="530" w:type="pct"/>
            <w:tcBorders>
              <w:top w:val="single" w:sz="4" w:space="0" w:color="auto"/>
              <w:left w:val="single" w:sz="4" w:space="0" w:color="auto"/>
              <w:bottom w:val="single" w:sz="4" w:space="0" w:color="auto"/>
              <w:right w:val="single" w:sz="4" w:space="0" w:color="auto"/>
            </w:tcBorders>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w:t>
            </w:r>
          </w:p>
        </w:tc>
        <w:tc>
          <w:tcPr>
            <w:tcW w:w="697" w:type="pct"/>
            <w:tcBorders>
              <w:top w:val="single" w:sz="4" w:space="0" w:color="auto"/>
              <w:left w:val="single" w:sz="4" w:space="0" w:color="auto"/>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897,883.77 </w:t>
            </w:r>
          </w:p>
        </w:tc>
        <w:tc>
          <w:tcPr>
            <w:tcW w:w="443" w:type="pct"/>
            <w:tcBorders>
              <w:top w:val="nil"/>
              <w:left w:val="single" w:sz="4" w:space="0" w:color="auto"/>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w:t>
            </w:r>
          </w:p>
        </w:tc>
        <w:tc>
          <w:tcPr>
            <w:tcW w:w="728" w:type="pct"/>
            <w:tcBorders>
              <w:top w:val="nil"/>
              <w:left w:val="nil"/>
              <w:bottom w:val="single" w:sz="4" w:space="0" w:color="000000"/>
              <w:right w:val="single" w:sz="4" w:space="0" w:color="000000"/>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828,653.44</w:t>
            </w:r>
          </w:p>
        </w:tc>
        <w:tc>
          <w:tcPr>
            <w:tcW w:w="467" w:type="pct"/>
            <w:tcBorders>
              <w:top w:val="nil"/>
              <w:left w:val="nil"/>
              <w:bottom w:val="single" w:sz="4" w:space="0" w:color="auto"/>
              <w:right w:val="single" w:sz="4" w:space="0" w:color="auto"/>
            </w:tcBorders>
            <w:noWrap/>
            <w:tcMar>
              <w:left w:w="57" w:type="dxa"/>
              <w:right w:w="57" w:type="dxa"/>
            </w:tcMa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8.2.2.2</w:t>
      </w:r>
      <w:r>
        <w:rPr>
          <w:rFonts w:asciiTheme="minorEastAsia" w:eastAsiaTheme="minorEastAsia" w:hAnsiTheme="minorEastAsia" w:cs="宋体" w:hint="eastAsia"/>
          <w:b/>
          <w:kern w:val="0"/>
          <w:sz w:val="24"/>
          <w:szCs w:val="24"/>
        </w:rPr>
        <w:t>主要负债项目</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本行负债项目以吸收存款为主。截至报告期末，吸收存款占总负债的比重为</w:t>
      </w:r>
      <w:r>
        <w:rPr>
          <w:rFonts w:asciiTheme="minorEastAsia" w:eastAsiaTheme="minorEastAsia" w:hAnsiTheme="minorEastAsia" w:cs="宋体"/>
          <w:kern w:val="0"/>
          <w:sz w:val="24"/>
          <w:szCs w:val="24"/>
        </w:rPr>
        <w:t>9</w:t>
      </w:r>
      <w:r>
        <w:rPr>
          <w:rFonts w:asciiTheme="minorEastAsia" w:eastAsiaTheme="minorEastAsia" w:hAnsiTheme="minorEastAsia" w:cs="宋体" w:hint="eastAsia"/>
          <w:kern w:val="0"/>
          <w:sz w:val="24"/>
          <w:szCs w:val="24"/>
        </w:rPr>
        <w:t>7.05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，其他负债占总负债的比重为2.95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单位：人民币万元</w:t>
      </w:r>
    </w:p>
    <w:tbl>
      <w:tblPr>
        <w:tblW w:w="4998" w:type="pct"/>
        <w:jc w:val="center"/>
        <w:tblLook w:val="04A0" w:firstRow="1" w:lastRow="0" w:firstColumn="1" w:lastColumn="0" w:noHBand="0" w:noVBand="1"/>
      </w:tblPr>
      <w:tblGrid>
        <w:gridCol w:w="2556"/>
        <w:gridCol w:w="1386"/>
        <w:gridCol w:w="801"/>
        <w:gridCol w:w="1386"/>
        <w:gridCol w:w="801"/>
        <w:gridCol w:w="1386"/>
        <w:gridCol w:w="801"/>
      </w:tblGrid>
      <w:tr w:rsidR="008768CC" w:rsidTr="00293A0E">
        <w:trPr>
          <w:trHeight w:val="340"/>
          <w:jc w:val="center"/>
        </w:trPr>
        <w:tc>
          <w:tcPr>
            <w:tcW w:w="1019" w:type="pct"/>
            <w:vMerge w:val="restart"/>
            <w:tcBorders>
              <w:top w:val="single" w:sz="4" w:space="0" w:color="auto"/>
              <w:left w:val="single" w:sz="4" w:space="0" w:color="auto"/>
              <w:bottom w:val="single" w:sz="4" w:space="0" w:color="000000"/>
              <w:right w:val="single" w:sz="4" w:space="0" w:color="auto"/>
            </w:tcBorders>
            <w:noWrap/>
            <w:vAlign w:val="center"/>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项目</w:t>
            </w:r>
          </w:p>
        </w:tc>
        <w:tc>
          <w:tcPr>
            <w:tcW w:w="1365" w:type="pct"/>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3年</w:t>
            </w:r>
          </w:p>
        </w:tc>
        <w:tc>
          <w:tcPr>
            <w:tcW w:w="1316" w:type="pct"/>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2年</w:t>
            </w:r>
          </w:p>
        </w:tc>
        <w:tc>
          <w:tcPr>
            <w:tcW w:w="1298" w:type="pct"/>
            <w:gridSpan w:val="2"/>
            <w:tcBorders>
              <w:top w:val="single" w:sz="4" w:space="0" w:color="auto"/>
              <w:left w:val="nil"/>
              <w:bottom w:val="single" w:sz="4" w:space="0" w:color="auto"/>
              <w:right w:val="single" w:sz="4" w:space="0" w:color="000000"/>
            </w:tcBorders>
            <w:noWrap/>
            <w:vAlign w:val="bottom"/>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w:t>
            </w:r>
            <w:r>
              <w:rPr>
                <w:rFonts w:asciiTheme="minorEastAsia" w:eastAsiaTheme="minorEastAsia" w:hAnsiTheme="minorEastAsia" w:cs="宋体" w:hint="eastAsia"/>
                <w:b/>
                <w:kern w:val="0"/>
                <w:sz w:val="24"/>
                <w:szCs w:val="24"/>
              </w:rPr>
              <w:t>21年</w:t>
            </w:r>
          </w:p>
        </w:tc>
      </w:tr>
      <w:tr w:rsidR="008768CC" w:rsidTr="00293A0E">
        <w:trPr>
          <w:trHeight w:val="340"/>
          <w:jc w:val="center"/>
        </w:trPr>
        <w:tc>
          <w:tcPr>
            <w:tcW w:w="1019" w:type="pct"/>
            <w:vMerge/>
            <w:tcBorders>
              <w:top w:val="single" w:sz="4" w:space="0" w:color="auto"/>
              <w:left w:val="single" w:sz="4" w:space="0" w:color="auto"/>
              <w:bottom w:val="single" w:sz="4" w:space="0" w:color="000000"/>
              <w:right w:val="single" w:sz="4" w:space="0" w:color="auto"/>
            </w:tcBorders>
            <w:vAlign w:val="center"/>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p>
        </w:tc>
        <w:tc>
          <w:tcPr>
            <w:tcW w:w="871"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494"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c>
          <w:tcPr>
            <w:tcW w:w="822"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494"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c>
          <w:tcPr>
            <w:tcW w:w="822"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475" w:type="pct"/>
            <w:tcBorders>
              <w:top w:val="nil"/>
              <w:left w:val="nil"/>
              <w:bottom w:val="single" w:sz="4" w:space="0" w:color="auto"/>
              <w:right w:val="single" w:sz="4" w:space="0" w:color="auto"/>
            </w:tcBorders>
            <w:noWrap/>
            <w:vAlign w:val="center"/>
          </w:tcPr>
          <w:p w:rsidR="008768CC" w:rsidRDefault="008768CC" w:rsidP="00293A0E">
            <w:pPr>
              <w:spacing w:line="48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r>
      <w:tr w:rsidR="008768CC" w:rsidTr="00293A0E">
        <w:trPr>
          <w:trHeight w:val="340"/>
          <w:jc w:val="center"/>
        </w:trPr>
        <w:tc>
          <w:tcPr>
            <w:tcW w:w="1019" w:type="pct"/>
            <w:tcBorders>
              <w:top w:val="nil"/>
              <w:left w:val="single" w:sz="4" w:space="0" w:color="auto"/>
              <w:bottom w:val="single" w:sz="4" w:space="0" w:color="auto"/>
              <w:right w:val="single" w:sz="4" w:space="0" w:color="auto"/>
            </w:tcBorders>
            <w:noWrap/>
            <w:vAlign w:val="bottom"/>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同业及其他金融机构存放款</w:t>
            </w:r>
          </w:p>
        </w:tc>
        <w:tc>
          <w:tcPr>
            <w:tcW w:w="871" w:type="pct"/>
            <w:tcBorders>
              <w:top w:val="nil"/>
              <w:left w:val="nil"/>
              <w:bottom w:val="single" w:sz="4" w:space="0" w:color="000000"/>
              <w:right w:val="single" w:sz="4" w:space="0" w:color="000000"/>
            </w:tcBorders>
            <w:noWrap/>
            <w:vAlign w:val="cente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494" w:type="pct"/>
            <w:tcBorders>
              <w:top w:val="nil"/>
              <w:left w:val="nil"/>
              <w:bottom w:val="single" w:sz="4" w:space="0" w:color="auto"/>
              <w:right w:val="single" w:sz="4" w:space="0" w:color="auto"/>
            </w:tcBorders>
            <w:noWrap/>
            <w:vAlign w:val="cente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822" w:type="pct"/>
            <w:tcBorders>
              <w:top w:val="nil"/>
              <w:left w:val="nil"/>
              <w:bottom w:val="single" w:sz="4" w:space="0" w:color="000000"/>
              <w:right w:val="single" w:sz="4" w:space="0" w:color="000000"/>
            </w:tcBorders>
            <w:noWrap/>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494" w:type="pct"/>
            <w:tcBorders>
              <w:top w:val="nil"/>
              <w:left w:val="nil"/>
              <w:bottom w:val="single" w:sz="4" w:space="0" w:color="auto"/>
              <w:right w:val="single" w:sz="4" w:space="0" w:color="auto"/>
            </w:tcBorders>
            <w:noWrap/>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822" w:type="pct"/>
            <w:tcBorders>
              <w:top w:val="nil"/>
              <w:left w:val="nil"/>
              <w:bottom w:val="single" w:sz="4" w:space="0" w:color="000000"/>
              <w:right w:val="single" w:sz="4" w:space="0" w:color="000000"/>
            </w:tcBorders>
            <w:noWrap/>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475" w:type="pct"/>
            <w:tcBorders>
              <w:top w:val="nil"/>
              <w:left w:val="nil"/>
              <w:bottom w:val="single" w:sz="4" w:space="0" w:color="auto"/>
              <w:right w:val="single" w:sz="4" w:space="0" w:color="auto"/>
            </w:tcBorders>
            <w:noWrap/>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0.00%</w:t>
            </w:r>
          </w:p>
        </w:tc>
      </w:tr>
      <w:tr w:rsidR="008768CC" w:rsidTr="00293A0E">
        <w:trPr>
          <w:trHeight w:val="340"/>
          <w:jc w:val="center"/>
        </w:trPr>
        <w:tc>
          <w:tcPr>
            <w:tcW w:w="1019" w:type="pct"/>
            <w:tcBorders>
              <w:top w:val="nil"/>
              <w:left w:val="single" w:sz="4" w:space="0" w:color="auto"/>
              <w:bottom w:val="single" w:sz="4" w:space="0" w:color="auto"/>
              <w:right w:val="single" w:sz="4" w:space="0" w:color="auto"/>
            </w:tcBorders>
            <w:noWrap/>
            <w:vAlign w:val="bottom"/>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卖出回购金融资产款</w:t>
            </w:r>
          </w:p>
        </w:tc>
        <w:tc>
          <w:tcPr>
            <w:tcW w:w="871" w:type="pct"/>
            <w:tcBorders>
              <w:top w:val="nil"/>
              <w:left w:val="nil"/>
              <w:bottom w:val="single" w:sz="4" w:space="0" w:color="000000"/>
              <w:right w:val="single" w:sz="4" w:space="0" w:color="000000"/>
            </w:tcBorders>
            <w:noWrap/>
            <w:vAlign w:val="cente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494" w:type="pct"/>
            <w:tcBorders>
              <w:top w:val="nil"/>
              <w:left w:val="nil"/>
              <w:bottom w:val="single" w:sz="4" w:space="0" w:color="auto"/>
              <w:right w:val="single" w:sz="4" w:space="0" w:color="auto"/>
            </w:tcBorders>
            <w:noWrap/>
            <w:vAlign w:val="cente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822" w:type="pct"/>
            <w:tcBorders>
              <w:top w:val="nil"/>
              <w:left w:val="nil"/>
              <w:bottom w:val="single" w:sz="4" w:space="0" w:color="000000"/>
              <w:right w:val="single" w:sz="4" w:space="0" w:color="000000"/>
            </w:tcBorders>
            <w:noWrap/>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494" w:type="pct"/>
            <w:tcBorders>
              <w:top w:val="nil"/>
              <w:left w:val="nil"/>
              <w:bottom w:val="single" w:sz="4" w:space="0" w:color="auto"/>
              <w:right w:val="single" w:sz="4" w:space="0" w:color="auto"/>
            </w:tcBorders>
            <w:noWrap/>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822" w:type="pct"/>
            <w:tcBorders>
              <w:top w:val="nil"/>
              <w:left w:val="nil"/>
              <w:bottom w:val="single" w:sz="4" w:space="0" w:color="000000"/>
              <w:right w:val="single" w:sz="4" w:space="0" w:color="000000"/>
            </w:tcBorders>
            <w:noWrap/>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475" w:type="pct"/>
            <w:tcBorders>
              <w:top w:val="nil"/>
              <w:left w:val="nil"/>
              <w:bottom w:val="single" w:sz="4" w:space="0" w:color="auto"/>
              <w:right w:val="single" w:sz="4" w:space="0" w:color="auto"/>
            </w:tcBorders>
            <w:noWrap/>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0.00%</w:t>
            </w:r>
          </w:p>
        </w:tc>
      </w:tr>
      <w:tr w:rsidR="008768CC" w:rsidTr="00293A0E">
        <w:trPr>
          <w:trHeight w:val="340"/>
          <w:jc w:val="center"/>
        </w:trPr>
        <w:tc>
          <w:tcPr>
            <w:tcW w:w="1019" w:type="pct"/>
            <w:tcBorders>
              <w:top w:val="nil"/>
              <w:left w:val="single" w:sz="4" w:space="0" w:color="auto"/>
              <w:bottom w:val="single" w:sz="4" w:space="0" w:color="auto"/>
              <w:right w:val="single" w:sz="4" w:space="0" w:color="auto"/>
            </w:tcBorders>
            <w:noWrap/>
            <w:vAlign w:val="bottom"/>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吸收存款</w:t>
            </w:r>
          </w:p>
        </w:tc>
        <w:tc>
          <w:tcPr>
            <w:tcW w:w="871" w:type="pct"/>
            <w:tcBorders>
              <w:top w:val="nil"/>
              <w:left w:val="nil"/>
              <w:bottom w:val="single" w:sz="4" w:space="0" w:color="000000"/>
              <w:right w:val="single" w:sz="4" w:space="0" w:color="000000"/>
            </w:tcBorders>
            <w:noWrap/>
            <w:vAlign w:val="cente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2,452,265.96</w:t>
            </w:r>
          </w:p>
        </w:tc>
        <w:tc>
          <w:tcPr>
            <w:tcW w:w="494" w:type="pct"/>
            <w:tcBorders>
              <w:top w:val="nil"/>
              <w:left w:val="nil"/>
              <w:bottom w:val="single" w:sz="4" w:space="0" w:color="auto"/>
              <w:right w:val="single" w:sz="4" w:space="0" w:color="auto"/>
            </w:tcBorders>
            <w:noWrap/>
            <w:vAlign w:val="cente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9</w:t>
            </w:r>
            <w:r>
              <w:rPr>
                <w:rFonts w:asciiTheme="minorEastAsia" w:eastAsiaTheme="minorEastAsia" w:hAnsiTheme="minorEastAsia" w:hint="eastAsia"/>
                <w:sz w:val="24"/>
                <w:szCs w:val="24"/>
              </w:rPr>
              <w:t>7.05</w:t>
            </w:r>
            <w:r>
              <w:rPr>
                <w:rFonts w:asciiTheme="minorEastAsia" w:eastAsiaTheme="minorEastAsia" w:hAnsiTheme="minorEastAsia"/>
                <w:sz w:val="24"/>
                <w:szCs w:val="24"/>
              </w:rPr>
              <w:t>%</w:t>
            </w:r>
          </w:p>
        </w:tc>
        <w:tc>
          <w:tcPr>
            <w:tcW w:w="822" w:type="pct"/>
            <w:tcBorders>
              <w:top w:val="nil"/>
              <w:left w:val="nil"/>
              <w:bottom w:val="single" w:sz="4" w:space="0" w:color="000000"/>
              <w:right w:val="single" w:sz="4" w:space="0" w:color="000000"/>
            </w:tcBorders>
            <w:noWrap/>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2,392,346.55</w:t>
            </w:r>
          </w:p>
        </w:tc>
        <w:tc>
          <w:tcPr>
            <w:tcW w:w="494" w:type="pct"/>
            <w:tcBorders>
              <w:top w:val="nil"/>
              <w:left w:val="nil"/>
              <w:bottom w:val="single" w:sz="4" w:space="0" w:color="auto"/>
              <w:right w:val="single" w:sz="4" w:space="0" w:color="auto"/>
            </w:tcBorders>
            <w:noWrap/>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96.4</w:t>
            </w: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p>
        </w:tc>
        <w:tc>
          <w:tcPr>
            <w:tcW w:w="822" w:type="pct"/>
            <w:tcBorders>
              <w:top w:val="nil"/>
              <w:left w:val="nil"/>
              <w:bottom w:val="single" w:sz="4" w:space="0" w:color="000000"/>
              <w:right w:val="single" w:sz="4" w:space="0" w:color="000000"/>
            </w:tcBorders>
            <w:noWrap/>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2,218,506.68</w:t>
            </w:r>
          </w:p>
        </w:tc>
        <w:tc>
          <w:tcPr>
            <w:tcW w:w="475" w:type="pct"/>
            <w:tcBorders>
              <w:top w:val="nil"/>
              <w:left w:val="nil"/>
              <w:bottom w:val="single" w:sz="4" w:space="0" w:color="auto"/>
              <w:right w:val="single" w:sz="4" w:space="0" w:color="auto"/>
            </w:tcBorders>
            <w:noWrap/>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96.44%</w:t>
            </w:r>
          </w:p>
        </w:tc>
      </w:tr>
      <w:tr w:rsidR="008768CC" w:rsidTr="00293A0E">
        <w:trPr>
          <w:trHeight w:val="340"/>
          <w:jc w:val="center"/>
        </w:trPr>
        <w:tc>
          <w:tcPr>
            <w:tcW w:w="1019" w:type="pct"/>
            <w:tcBorders>
              <w:top w:val="nil"/>
              <w:left w:val="single" w:sz="4" w:space="0" w:color="auto"/>
              <w:bottom w:val="single" w:sz="4" w:space="0" w:color="auto"/>
              <w:right w:val="single" w:sz="4" w:space="0" w:color="auto"/>
            </w:tcBorders>
            <w:noWrap/>
            <w:vAlign w:val="bottom"/>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其他负债</w:t>
            </w:r>
          </w:p>
        </w:tc>
        <w:tc>
          <w:tcPr>
            <w:tcW w:w="871" w:type="pct"/>
            <w:tcBorders>
              <w:top w:val="nil"/>
              <w:left w:val="nil"/>
              <w:bottom w:val="single" w:sz="4" w:space="0" w:color="000000"/>
              <w:right w:val="single" w:sz="4" w:space="0" w:color="000000"/>
            </w:tcBorders>
            <w:noWrap/>
            <w:vAlign w:val="cente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74,524.66</w:t>
            </w:r>
          </w:p>
        </w:tc>
        <w:tc>
          <w:tcPr>
            <w:tcW w:w="494" w:type="pct"/>
            <w:tcBorders>
              <w:top w:val="nil"/>
              <w:left w:val="nil"/>
              <w:bottom w:val="single" w:sz="4" w:space="0" w:color="auto"/>
              <w:right w:val="single" w:sz="4" w:space="0" w:color="auto"/>
            </w:tcBorders>
            <w:noWrap/>
            <w:vAlign w:val="cente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2.95</w:t>
            </w:r>
            <w:r>
              <w:rPr>
                <w:rFonts w:asciiTheme="minorEastAsia" w:eastAsiaTheme="minorEastAsia" w:hAnsiTheme="minorEastAsia"/>
                <w:sz w:val="24"/>
                <w:szCs w:val="24"/>
              </w:rPr>
              <w:t>%</w:t>
            </w:r>
          </w:p>
        </w:tc>
        <w:tc>
          <w:tcPr>
            <w:tcW w:w="822" w:type="pct"/>
            <w:tcBorders>
              <w:top w:val="nil"/>
              <w:left w:val="nil"/>
              <w:bottom w:val="single" w:sz="4" w:space="0" w:color="000000"/>
              <w:right w:val="single" w:sz="4" w:space="0" w:color="000000"/>
            </w:tcBorders>
            <w:noWrap/>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88,821.48</w:t>
            </w:r>
          </w:p>
        </w:tc>
        <w:tc>
          <w:tcPr>
            <w:tcW w:w="494" w:type="pct"/>
            <w:tcBorders>
              <w:top w:val="nil"/>
              <w:left w:val="nil"/>
              <w:bottom w:val="single" w:sz="4" w:space="0" w:color="auto"/>
              <w:right w:val="single" w:sz="4" w:space="0" w:color="auto"/>
            </w:tcBorders>
            <w:noWrap/>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3.58</w:t>
            </w:r>
            <w:r>
              <w:rPr>
                <w:rFonts w:asciiTheme="minorEastAsia" w:eastAsiaTheme="minorEastAsia" w:hAnsiTheme="minorEastAsia"/>
                <w:sz w:val="24"/>
                <w:szCs w:val="24"/>
              </w:rPr>
              <w:t>%</w:t>
            </w:r>
          </w:p>
        </w:tc>
        <w:tc>
          <w:tcPr>
            <w:tcW w:w="822" w:type="pct"/>
            <w:tcBorders>
              <w:top w:val="nil"/>
              <w:left w:val="nil"/>
              <w:bottom w:val="single" w:sz="4" w:space="0" w:color="000000"/>
              <w:right w:val="single" w:sz="4" w:space="0" w:color="000000"/>
            </w:tcBorders>
            <w:noWrap/>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81,906.93</w:t>
            </w:r>
          </w:p>
        </w:tc>
        <w:tc>
          <w:tcPr>
            <w:tcW w:w="475" w:type="pct"/>
            <w:tcBorders>
              <w:top w:val="nil"/>
              <w:left w:val="nil"/>
              <w:bottom w:val="single" w:sz="4" w:space="0" w:color="auto"/>
              <w:right w:val="single" w:sz="4" w:space="0" w:color="auto"/>
            </w:tcBorders>
            <w:noWrap/>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3.56%</w:t>
            </w:r>
          </w:p>
        </w:tc>
      </w:tr>
      <w:tr w:rsidR="008768CC" w:rsidTr="00293A0E">
        <w:trPr>
          <w:trHeight w:val="340"/>
          <w:jc w:val="center"/>
        </w:trPr>
        <w:tc>
          <w:tcPr>
            <w:tcW w:w="1019" w:type="pct"/>
            <w:tcBorders>
              <w:top w:val="nil"/>
              <w:left w:val="single" w:sz="4" w:space="0" w:color="auto"/>
              <w:bottom w:val="single" w:sz="4" w:space="0" w:color="auto"/>
              <w:right w:val="single" w:sz="4" w:space="0" w:color="auto"/>
            </w:tcBorders>
            <w:noWrap/>
            <w:vAlign w:val="bottom"/>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负债总额</w:t>
            </w:r>
          </w:p>
        </w:tc>
        <w:tc>
          <w:tcPr>
            <w:tcW w:w="871" w:type="pct"/>
            <w:tcBorders>
              <w:top w:val="nil"/>
              <w:left w:val="nil"/>
              <w:bottom w:val="single" w:sz="4" w:space="0" w:color="000000"/>
              <w:right w:val="single" w:sz="4" w:space="0" w:color="000000"/>
            </w:tcBorders>
            <w:noWrap/>
            <w:vAlign w:val="cente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2,526,790.62</w:t>
            </w:r>
          </w:p>
        </w:tc>
        <w:tc>
          <w:tcPr>
            <w:tcW w:w="494" w:type="pct"/>
            <w:tcBorders>
              <w:top w:val="nil"/>
              <w:left w:val="nil"/>
              <w:bottom w:val="single" w:sz="4" w:space="0" w:color="auto"/>
              <w:right w:val="single" w:sz="4" w:space="0" w:color="auto"/>
            </w:tcBorders>
            <w:noWrap/>
            <w:vAlign w:val="center"/>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w:t>
            </w:r>
          </w:p>
        </w:tc>
        <w:tc>
          <w:tcPr>
            <w:tcW w:w="822" w:type="pct"/>
            <w:tcBorders>
              <w:top w:val="nil"/>
              <w:left w:val="nil"/>
              <w:bottom w:val="single" w:sz="4" w:space="0" w:color="000000"/>
              <w:right w:val="single" w:sz="4" w:space="0" w:color="000000"/>
            </w:tcBorders>
            <w:noWrap/>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2,481,168.03</w:t>
            </w:r>
          </w:p>
        </w:tc>
        <w:tc>
          <w:tcPr>
            <w:tcW w:w="494" w:type="pct"/>
            <w:tcBorders>
              <w:top w:val="nil"/>
              <w:left w:val="nil"/>
              <w:bottom w:val="single" w:sz="4" w:space="0" w:color="auto"/>
              <w:right w:val="single" w:sz="4" w:space="0" w:color="auto"/>
            </w:tcBorders>
            <w:noWrap/>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w:t>
            </w:r>
          </w:p>
        </w:tc>
        <w:tc>
          <w:tcPr>
            <w:tcW w:w="822" w:type="pct"/>
            <w:tcBorders>
              <w:top w:val="nil"/>
              <w:left w:val="nil"/>
              <w:bottom w:val="single" w:sz="4" w:space="0" w:color="000000"/>
              <w:right w:val="single" w:sz="4" w:space="0" w:color="000000"/>
            </w:tcBorders>
            <w:noWrap/>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2,300,413.61</w:t>
            </w:r>
          </w:p>
        </w:tc>
        <w:tc>
          <w:tcPr>
            <w:tcW w:w="475" w:type="pct"/>
            <w:tcBorders>
              <w:top w:val="nil"/>
              <w:left w:val="nil"/>
              <w:bottom w:val="single" w:sz="4" w:space="0" w:color="auto"/>
              <w:right w:val="single" w:sz="4" w:space="0" w:color="auto"/>
            </w:tcBorders>
            <w:noWrap/>
          </w:tcPr>
          <w:p w:rsidR="008768CC" w:rsidRDefault="008768CC" w:rsidP="00293A0E">
            <w:pPr>
              <w:widowControl w:val="0"/>
              <w:spacing w:line="48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500" w:lineRule="exact"/>
        <w:ind w:firstLineChars="0" w:firstLine="0"/>
        <w:rPr>
          <w:rFonts w:asciiTheme="minorEastAsia" w:eastAsiaTheme="minorEastAsia" w:hAnsiTheme="minorEastAsia" w:cs="宋体"/>
          <w:b/>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5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lastRenderedPageBreak/>
        <w:t>1.</w:t>
      </w:r>
      <w:r>
        <w:rPr>
          <w:rFonts w:asciiTheme="minorEastAsia" w:eastAsiaTheme="minorEastAsia" w:hAnsiTheme="minorEastAsia" w:cs="宋体" w:hint="eastAsia"/>
          <w:b/>
          <w:kern w:val="0"/>
          <w:sz w:val="24"/>
          <w:szCs w:val="24"/>
        </w:rPr>
        <w:t>各项存款</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kern w:val="0"/>
          <w:sz w:val="24"/>
          <w:szCs w:val="24"/>
        </w:rPr>
        <w:t>截至报告期末，本行各项存款余额245.23亿元，比年初增加5.99亿元，增长2.5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，占本行负债总额的97.05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，为本行的主要资金来源。其中，单位存款占存款总额的比例为6.08</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，比年初下降0.78个百分点；储蓄存款占存款总额的比例为</w:t>
      </w:r>
      <w:r>
        <w:rPr>
          <w:rFonts w:asciiTheme="minorEastAsia" w:eastAsiaTheme="minorEastAsia" w:hAnsiTheme="minorEastAsia" w:cs="宋体"/>
          <w:kern w:val="0"/>
          <w:sz w:val="24"/>
          <w:szCs w:val="24"/>
        </w:rPr>
        <w:t>9</w:t>
      </w:r>
      <w:r>
        <w:rPr>
          <w:rFonts w:asciiTheme="minorEastAsia" w:eastAsiaTheme="minorEastAsia" w:hAnsiTheme="minorEastAsia" w:cs="宋体" w:hint="eastAsia"/>
          <w:kern w:val="0"/>
          <w:sz w:val="24"/>
          <w:szCs w:val="24"/>
        </w:rPr>
        <w:t>3.91</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，比年初上升0.77个百分点。</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单位：人民币万元</w:t>
      </w:r>
    </w:p>
    <w:tbl>
      <w:tblPr>
        <w:tblW w:w="4998" w:type="pct"/>
        <w:jc w:val="center"/>
        <w:tblLook w:val="04A0" w:firstRow="1" w:lastRow="0" w:firstColumn="1" w:lastColumn="0" w:noHBand="0" w:noVBand="1"/>
      </w:tblPr>
      <w:tblGrid>
        <w:gridCol w:w="1200"/>
        <w:gridCol w:w="1708"/>
        <w:gridCol w:w="936"/>
        <w:gridCol w:w="1657"/>
        <w:gridCol w:w="936"/>
        <w:gridCol w:w="1656"/>
        <w:gridCol w:w="1020"/>
      </w:tblGrid>
      <w:tr w:rsidR="008768CC" w:rsidTr="00293A0E">
        <w:trPr>
          <w:trHeight w:val="397"/>
          <w:jc w:val="center"/>
        </w:trPr>
        <w:tc>
          <w:tcPr>
            <w:tcW w:w="663" w:type="pct"/>
            <w:vMerge w:val="restar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项目</w:t>
            </w:r>
          </w:p>
        </w:tc>
        <w:tc>
          <w:tcPr>
            <w:tcW w:w="1444" w:type="pct"/>
            <w:gridSpan w:val="2"/>
            <w:tcBorders>
              <w:top w:val="single" w:sz="4" w:space="0" w:color="auto"/>
              <w:left w:val="nil"/>
              <w:bottom w:val="single" w:sz="4" w:space="0" w:color="auto"/>
              <w:right w:val="single" w:sz="4" w:space="0" w:color="auto"/>
            </w:tcBorders>
            <w:noWrap/>
            <w:vAlign w:val="bottom"/>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3年</w:t>
            </w:r>
          </w:p>
        </w:tc>
        <w:tc>
          <w:tcPr>
            <w:tcW w:w="1429" w:type="pct"/>
            <w:gridSpan w:val="2"/>
            <w:tcBorders>
              <w:top w:val="single" w:sz="4" w:space="0" w:color="auto"/>
              <w:left w:val="nil"/>
              <w:bottom w:val="single" w:sz="4" w:space="0" w:color="auto"/>
              <w:right w:val="single" w:sz="4" w:space="0" w:color="auto"/>
            </w:tcBorders>
            <w:noWrap/>
            <w:vAlign w:val="bottom"/>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2年</w:t>
            </w:r>
          </w:p>
        </w:tc>
        <w:tc>
          <w:tcPr>
            <w:tcW w:w="1462" w:type="pct"/>
            <w:gridSpan w:val="2"/>
            <w:tcBorders>
              <w:top w:val="single" w:sz="4" w:space="0" w:color="auto"/>
              <w:left w:val="nil"/>
              <w:bottom w:val="single" w:sz="4" w:space="0" w:color="auto"/>
              <w:right w:val="single" w:sz="4" w:space="0" w:color="auto"/>
            </w:tcBorders>
            <w:noWrap/>
            <w:vAlign w:val="bottom"/>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20</w:t>
            </w:r>
            <w:r>
              <w:rPr>
                <w:rFonts w:asciiTheme="minorEastAsia" w:eastAsiaTheme="minorEastAsia" w:hAnsiTheme="minorEastAsia" w:cs="宋体" w:hint="eastAsia"/>
                <w:b/>
                <w:kern w:val="0"/>
                <w:sz w:val="24"/>
                <w:szCs w:val="24"/>
              </w:rPr>
              <w:t>21年</w:t>
            </w:r>
          </w:p>
        </w:tc>
      </w:tr>
      <w:tr w:rsidR="008768CC" w:rsidTr="00293A0E">
        <w:trPr>
          <w:trHeight w:val="397"/>
          <w:jc w:val="center"/>
        </w:trPr>
        <w:tc>
          <w:tcPr>
            <w:tcW w:w="663" w:type="pct"/>
            <w:vMerge/>
            <w:tcBorders>
              <w:top w:val="single" w:sz="4" w:space="0" w:color="auto"/>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p>
        </w:tc>
        <w:tc>
          <w:tcPr>
            <w:tcW w:w="941" w:type="pct"/>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502" w:type="pct"/>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c>
          <w:tcPr>
            <w:tcW w:w="913" w:type="pct"/>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516" w:type="pct"/>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c>
          <w:tcPr>
            <w:tcW w:w="897" w:type="pct"/>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金额</w:t>
            </w:r>
          </w:p>
        </w:tc>
        <w:tc>
          <w:tcPr>
            <w:tcW w:w="565" w:type="pct"/>
            <w:tcBorders>
              <w:top w:val="nil"/>
              <w:left w:val="nil"/>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占比</w:t>
            </w:r>
          </w:p>
        </w:tc>
      </w:tr>
      <w:tr w:rsidR="008768CC" w:rsidTr="00293A0E">
        <w:trPr>
          <w:trHeight w:val="397"/>
          <w:jc w:val="center"/>
        </w:trPr>
        <w:tc>
          <w:tcPr>
            <w:tcW w:w="663" w:type="pct"/>
            <w:tcBorders>
              <w:top w:val="nil"/>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单位存款</w:t>
            </w:r>
          </w:p>
        </w:tc>
        <w:tc>
          <w:tcPr>
            <w:tcW w:w="941" w:type="pct"/>
            <w:tcBorders>
              <w:top w:val="nil"/>
              <w:left w:val="nil"/>
              <w:bottom w:val="single" w:sz="4" w:space="0" w:color="auto"/>
              <w:right w:val="single" w:sz="4" w:space="0" w:color="auto"/>
            </w:tcBorders>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149,071.2</w:t>
            </w:r>
          </w:p>
        </w:tc>
        <w:tc>
          <w:tcPr>
            <w:tcW w:w="502" w:type="pct"/>
            <w:tcBorders>
              <w:top w:val="nil"/>
              <w:left w:val="nil"/>
              <w:bottom w:val="single" w:sz="4" w:space="0" w:color="auto"/>
              <w:right w:val="single" w:sz="4" w:space="0" w:color="auto"/>
            </w:tcBorders>
            <w:noWrap/>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6.08</w:t>
            </w:r>
            <w:r>
              <w:rPr>
                <w:rFonts w:asciiTheme="minorEastAsia" w:eastAsiaTheme="minorEastAsia" w:hAnsiTheme="minorEastAsia"/>
                <w:sz w:val="24"/>
                <w:szCs w:val="24"/>
              </w:rPr>
              <w:t>%</w:t>
            </w:r>
          </w:p>
        </w:tc>
        <w:tc>
          <w:tcPr>
            <w:tcW w:w="913" w:type="pct"/>
            <w:tcBorders>
              <w:top w:val="nil"/>
              <w:left w:val="nil"/>
              <w:bottom w:val="single" w:sz="4" w:space="0" w:color="auto"/>
              <w:right w:val="single" w:sz="4" w:space="0" w:color="auto"/>
            </w:tcBorders>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164,030.41</w:t>
            </w:r>
          </w:p>
        </w:tc>
        <w:tc>
          <w:tcPr>
            <w:tcW w:w="516" w:type="pct"/>
            <w:tcBorders>
              <w:top w:val="nil"/>
              <w:left w:val="nil"/>
              <w:bottom w:val="single" w:sz="4" w:space="0" w:color="auto"/>
              <w:right w:val="single" w:sz="4" w:space="0" w:color="auto"/>
            </w:tcBorders>
            <w:noWrap/>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6.86%</w:t>
            </w:r>
          </w:p>
        </w:tc>
        <w:tc>
          <w:tcPr>
            <w:tcW w:w="897" w:type="pct"/>
            <w:tcBorders>
              <w:top w:val="nil"/>
              <w:left w:val="nil"/>
              <w:bottom w:val="single" w:sz="4" w:space="0" w:color="auto"/>
              <w:right w:val="single" w:sz="4" w:space="0" w:color="auto"/>
            </w:tcBorders>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197,541.36</w:t>
            </w:r>
          </w:p>
        </w:tc>
        <w:tc>
          <w:tcPr>
            <w:tcW w:w="565" w:type="pct"/>
            <w:tcBorders>
              <w:top w:val="nil"/>
              <w:left w:val="nil"/>
              <w:bottom w:val="single" w:sz="4" w:space="0" w:color="auto"/>
              <w:right w:val="single" w:sz="4" w:space="0" w:color="auto"/>
            </w:tcBorders>
            <w:noWrap/>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8.90%</w:t>
            </w:r>
          </w:p>
        </w:tc>
      </w:tr>
      <w:tr w:rsidR="008768CC" w:rsidTr="00293A0E">
        <w:trPr>
          <w:trHeight w:val="397"/>
          <w:jc w:val="center"/>
        </w:trPr>
        <w:tc>
          <w:tcPr>
            <w:tcW w:w="663" w:type="pct"/>
            <w:tcBorders>
              <w:top w:val="nil"/>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储蓄存款</w:t>
            </w:r>
          </w:p>
        </w:tc>
        <w:tc>
          <w:tcPr>
            <w:tcW w:w="941" w:type="pct"/>
            <w:tcBorders>
              <w:top w:val="nil"/>
              <w:left w:val="nil"/>
              <w:bottom w:val="single" w:sz="4" w:space="0" w:color="auto"/>
              <w:right w:val="single" w:sz="4" w:space="0" w:color="auto"/>
            </w:tcBorders>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2,302,989.76</w:t>
            </w:r>
          </w:p>
        </w:tc>
        <w:tc>
          <w:tcPr>
            <w:tcW w:w="502" w:type="pct"/>
            <w:tcBorders>
              <w:top w:val="nil"/>
              <w:left w:val="nil"/>
              <w:bottom w:val="single" w:sz="4" w:space="0" w:color="auto"/>
              <w:right w:val="single" w:sz="4" w:space="0" w:color="auto"/>
            </w:tcBorders>
            <w:noWrap/>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9</w:t>
            </w:r>
            <w:r>
              <w:rPr>
                <w:rFonts w:asciiTheme="minorEastAsia" w:eastAsiaTheme="minorEastAsia" w:hAnsiTheme="minorEastAsia" w:hint="eastAsia"/>
                <w:sz w:val="24"/>
                <w:szCs w:val="24"/>
              </w:rPr>
              <w:t>3.91</w:t>
            </w:r>
            <w:r>
              <w:rPr>
                <w:rFonts w:asciiTheme="minorEastAsia" w:eastAsiaTheme="minorEastAsia" w:hAnsiTheme="minorEastAsia"/>
                <w:sz w:val="24"/>
                <w:szCs w:val="24"/>
              </w:rPr>
              <w:t>%</w:t>
            </w:r>
          </w:p>
        </w:tc>
        <w:tc>
          <w:tcPr>
            <w:tcW w:w="913" w:type="pct"/>
            <w:tcBorders>
              <w:top w:val="nil"/>
              <w:left w:val="nil"/>
              <w:bottom w:val="single" w:sz="4" w:space="0" w:color="auto"/>
              <w:right w:val="single" w:sz="4" w:space="0" w:color="auto"/>
            </w:tcBorders>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2,228,312.71</w:t>
            </w:r>
          </w:p>
        </w:tc>
        <w:tc>
          <w:tcPr>
            <w:tcW w:w="516" w:type="pct"/>
            <w:tcBorders>
              <w:top w:val="nil"/>
              <w:left w:val="nil"/>
              <w:bottom w:val="single" w:sz="4" w:space="0" w:color="auto"/>
              <w:right w:val="single" w:sz="4" w:space="0" w:color="auto"/>
            </w:tcBorders>
            <w:noWrap/>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93.14%</w:t>
            </w:r>
          </w:p>
        </w:tc>
        <w:tc>
          <w:tcPr>
            <w:tcW w:w="897" w:type="pct"/>
            <w:tcBorders>
              <w:top w:val="nil"/>
              <w:left w:val="nil"/>
              <w:bottom w:val="single" w:sz="4" w:space="0" w:color="auto"/>
              <w:right w:val="single" w:sz="4" w:space="0" w:color="auto"/>
            </w:tcBorders>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2,020,904.77</w:t>
            </w:r>
          </w:p>
        </w:tc>
        <w:tc>
          <w:tcPr>
            <w:tcW w:w="565" w:type="pct"/>
            <w:tcBorders>
              <w:top w:val="nil"/>
              <w:left w:val="nil"/>
              <w:bottom w:val="single" w:sz="4" w:space="0" w:color="auto"/>
              <w:right w:val="single" w:sz="4" w:space="0" w:color="auto"/>
            </w:tcBorders>
            <w:noWrap/>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91.09%</w:t>
            </w:r>
          </w:p>
        </w:tc>
      </w:tr>
      <w:tr w:rsidR="008768CC" w:rsidTr="00293A0E">
        <w:trPr>
          <w:trHeight w:val="397"/>
          <w:jc w:val="center"/>
        </w:trPr>
        <w:tc>
          <w:tcPr>
            <w:tcW w:w="663" w:type="pct"/>
            <w:tcBorders>
              <w:top w:val="nil"/>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其他存款</w:t>
            </w:r>
          </w:p>
        </w:tc>
        <w:tc>
          <w:tcPr>
            <w:tcW w:w="941" w:type="pct"/>
            <w:tcBorders>
              <w:top w:val="nil"/>
              <w:left w:val="nil"/>
              <w:bottom w:val="single" w:sz="4" w:space="0" w:color="auto"/>
              <w:right w:val="single" w:sz="4" w:space="0" w:color="auto"/>
            </w:tcBorders>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205.00</w:t>
            </w:r>
          </w:p>
        </w:tc>
        <w:tc>
          <w:tcPr>
            <w:tcW w:w="502" w:type="pct"/>
            <w:tcBorders>
              <w:top w:val="nil"/>
              <w:left w:val="nil"/>
              <w:bottom w:val="single" w:sz="4" w:space="0" w:color="auto"/>
              <w:right w:val="single" w:sz="4" w:space="0" w:color="auto"/>
            </w:tcBorders>
            <w:noWrap/>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w:t>
            </w: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p>
        </w:tc>
        <w:tc>
          <w:tcPr>
            <w:tcW w:w="913" w:type="pct"/>
            <w:tcBorders>
              <w:top w:val="nil"/>
              <w:left w:val="nil"/>
              <w:bottom w:val="single" w:sz="4" w:space="0" w:color="auto"/>
              <w:right w:val="single" w:sz="4" w:space="0" w:color="auto"/>
            </w:tcBorders>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3.43</w:t>
            </w:r>
          </w:p>
        </w:tc>
        <w:tc>
          <w:tcPr>
            <w:tcW w:w="516" w:type="pct"/>
            <w:tcBorders>
              <w:top w:val="nil"/>
              <w:left w:val="nil"/>
              <w:bottom w:val="single" w:sz="4" w:space="0" w:color="auto"/>
              <w:right w:val="single" w:sz="4" w:space="0" w:color="auto"/>
            </w:tcBorders>
            <w:noWrap/>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c>
          <w:tcPr>
            <w:tcW w:w="897" w:type="pct"/>
            <w:tcBorders>
              <w:top w:val="nil"/>
              <w:left w:val="nil"/>
              <w:bottom w:val="single" w:sz="4" w:space="0" w:color="auto"/>
              <w:right w:val="single" w:sz="4" w:space="0" w:color="auto"/>
            </w:tcBorders>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60.55</w:t>
            </w:r>
          </w:p>
        </w:tc>
        <w:tc>
          <w:tcPr>
            <w:tcW w:w="565" w:type="pct"/>
            <w:tcBorders>
              <w:top w:val="nil"/>
              <w:left w:val="nil"/>
              <w:bottom w:val="single" w:sz="4" w:space="0" w:color="auto"/>
              <w:right w:val="single" w:sz="4" w:space="0" w:color="auto"/>
            </w:tcBorders>
            <w:noWrap/>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0.00%</w:t>
            </w:r>
          </w:p>
        </w:tc>
      </w:tr>
      <w:tr w:rsidR="008768CC" w:rsidTr="00293A0E">
        <w:trPr>
          <w:trHeight w:val="397"/>
          <w:jc w:val="center"/>
        </w:trPr>
        <w:tc>
          <w:tcPr>
            <w:tcW w:w="663" w:type="pct"/>
            <w:tcBorders>
              <w:top w:val="nil"/>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存款总额</w:t>
            </w:r>
          </w:p>
        </w:tc>
        <w:tc>
          <w:tcPr>
            <w:tcW w:w="941" w:type="pct"/>
            <w:tcBorders>
              <w:top w:val="nil"/>
              <w:left w:val="nil"/>
              <w:bottom w:val="single" w:sz="4" w:space="0" w:color="auto"/>
              <w:right w:val="single" w:sz="4" w:space="0" w:color="auto"/>
            </w:tcBorders>
            <w:noWrap/>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2,452,265.96</w:t>
            </w:r>
          </w:p>
        </w:tc>
        <w:tc>
          <w:tcPr>
            <w:tcW w:w="502" w:type="pct"/>
            <w:tcBorders>
              <w:top w:val="nil"/>
              <w:left w:val="nil"/>
              <w:bottom w:val="single" w:sz="4" w:space="0" w:color="auto"/>
              <w:right w:val="single" w:sz="4" w:space="0" w:color="auto"/>
            </w:tcBorders>
            <w:noWrap/>
            <w:vAlign w:val="center"/>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w:t>
            </w:r>
          </w:p>
        </w:tc>
        <w:tc>
          <w:tcPr>
            <w:tcW w:w="913" w:type="pct"/>
            <w:tcBorders>
              <w:top w:val="nil"/>
              <w:left w:val="nil"/>
              <w:bottom w:val="single" w:sz="4" w:space="0" w:color="auto"/>
              <w:right w:val="single" w:sz="4" w:space="0" w:color="auto"/>
            </w:tcBorders>
            <w:noWrap/>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2,392,346.55</w:t>
            </w:r>
          </w:p>
        </w:tc>
        <w:tc>
          <w:tcPr>
            <w:tcW w:w="516" w:type="pct"/>
            <w:tcBorders>
              <w:top w:val="nil"/>
              <w:left w:val="nil"/>
              <w:bottom w:val="single" w:sz="4" w:space="0" w:color="auto"/>
              <w:right w:val="single" w:sz="4" w:space="0" w:color="auto"/>
            </w:tcBorders>
            <w:noWrap/>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w:t>
            </w:r>
          </w:p>
        </w:tc>
        <w:tc>
          <w:tcPr>
            <w:tcW w:w="897" w:type="pct"/>
            <w:tcBorders>
              <w:top w:val="nil"/>
              <w:left w:val="nil"/>
              <w:bottom w:val="single" w:sz="4" w:space="0" w:color="auto"/>
              <w:right w:val="single" w:sz="4" w:space="0" w:color="auto"/>
            </w:tcBorders>
            <w:noWrap/>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2,218,506.68</w:t>
            </w:r>
          </w:p>
        </w:tc>
        <w:tc>
          <w:tcPr>
            <w:tcW w:w="565" w:type="pct"/>
            <w:tcBorders>
              <w:top w:val="nil"/>
              <w:left w:val="nil"/>
              <w:bottom w:val="single" w:sz="4" w:space="0" w:color="auto"/>
              <w:right w:val="single" w:sz="4" w:space="0" w:color="auto"/>
            </w:tcBorders>
            <w:noWrap/>
          </w:tcPr>
          <w:p w:rsidR="008768CC" w:rsidRDefault="008768CC" w:rsidP="00293A0E">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sz w:val="24"/>
                <w:szCs w:val="24"/>
              </w:rPr>
              <w:t>100%</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注：其他存款为应解汇款。</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w:t>
      </w:r>
      <w:r>
        <w:rPr>
          <w:rFonts w:asciiTheme="minorEastAsia" w:eastAsiaTheme="minorEastAsia" w:hAnsiTheme="minorEastAsia" w:cs="宋体" w:hint="eastAsia"/>
          <w:b/>
          <w:kern w:val="0"/>
          <w:sz w:val="24"/>
          <w:szCs w:val="24"/>
        </w:rPr>
        <w:t>同业及其他金融机构存放</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截至报告期末，本行同业及其他金融机构存放余额继续保持为</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。报告期内，本行整体流动性较为充裕，根据业务发展需要和市场变化情况，未进行同业及其他金融机构存放业务。</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3.</w:t>
      </w:r>
      <w:r>
        <w:rPr>
          <w:rFonts w:asciiTheme="minorEastAsia" w:eastAsiaTheme="minorEastAsia" w:hAnsiTheme="minorEastAsia" w:cs="宋体" w:hint="eastAsia"/>
          <w:b/>
          <w:kern w:val="0"/>
          <w:sz w:val="24"/>
          <w:szCs w:val="24"/>
        </w:rPr>
        <w:t>卖出回购金融资产</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截至报告期末，本行卖出回购金融资产余额继续保持为</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。报告期内，本行整体流动性较为充裕，未进行资金融入。</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8.2.3现金流量表分析</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报告期内，本行现金及现金等价物余额30.42亿元，比年初增加21.96亿元，增幅259.69</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。经营活动产生的现金流入净额12.76亿元，同比增加7.63亿元，增幅148.55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，主要是客户贷款及垫款净增加额比去年减少。投资活动产生的现金流入净额9.85亿元，同比增加14.16亿元，增幅329.11</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，主要是收回投资收到的现金增加。筹资活动产生的现金流出净额</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65亿元，同比增加0.07亿元，增幅12.35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，主要是分配股利、利润或偿付利息支付的现金增加。</w:t>
      </w:r>
    </w:p>
    <w:p w:rsidR="008768CC" w:rsidRDefault="008768CC" w:rsidP="008768CC">
      <w:pPr>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b/>
          <w:sz w:val="24"/>
          <w:szCs w:val="24"/>
        </w:rPr>
        <w:lastRenderedPageBreak/>
        <w:t>8.3</w:t>
      </w:r>
      <w:r>
        <w:rPr>
          <w:rFonts w:asciiTheme="minorEastAsia" w:eastAsiaTheme="minorEastAsia" w:hAnsiTheme="minorEastAsia" w:hint="eastAsia"/>
          <w:b/>
          <w:sz w:val="24"/>
          <w:szCs w:val="24"/>
        </w:rPr>
        <w:t>业务综述</w:t>
      </w:r>
    </w:p>
    <w:p w:rsidR="008768CC" w:rsidRDefault="008768CC" w:rsidP="008768CC">
      <w:pPr>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存款业务</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报告期内，本行积极开展业务和产品创新，存款保持稳步增长。截至</w:t>
      </w:r>
      <w:r>
        <w:rPr>
          <w:rFonts w:asciiTheme="minorEastAsia" w:eastAsiaTheme="minorEastAsia" w:hAnsiTheme="minorEastAsia"/>
          <w:sz w:val="24"/>
          <w:szCs w:val="24"/>
        </w:rPr>
        <w:t>202</w:t>
      </w:r>
      <w:r>
        <w:rPr>
          <w:rFonts w:asciiTheme="minorEastAsia" w:eastAsiaTheme="minorEastAsia" w:hAnsiTheme="minorEastAsia" w:hint="eastAsia"/>
          <w:sz w:val="24"/>
          <w:szCs w:val="24"/>
        </w:rPr>
        <w:t>3年</w:t>
      </w:r>
      <w:r>
        <w:rPr>
          <w:rFonts w:asciiTheme="minorEastAsia" w:eastAsiaTheme="minorEastAsia" w:hAnsiTheme="minorEastAsia"/>
          <w:sz w:val="24"/>
          <w:szCs w:val="24"/>
        </w:rPr>
        <w:t>12</w:t>
      </w:r>
      <w:r>
        <w:rPr>
          <w:rFonts w:asciiTheme="minorEastAsia" w:eastAsiaTheme="minorEastAsia" w:hAnsiTheme="minorEastAsia" w:hint="eastAsia"/>
          <w:sz w:val="24"/>
          <w:szCs w:val="24"/>
        </w:rPr>
        <w:t>月末，</w:t>
      </w:r>
      <w:r>
        <w:rPr>
          <w:rFonts w:asciiTheme="minorEastAsia" w:eastAsiaTheme="minorEastAsia" w:hAnsiTheme="minorEastAsia" w:cs="宋体" w:hint="eastAsia"/>
          <w:kern w:val="0"/>
          <w:sz w:val="24"/>
          <w:szCs w:val="24"/>
        </w:rPr>
        <w:t>各项存款余额245.23亿元，比年初增加5.99亿元，</w:t>
      </w:r>
      <w:r>
        <w:rPr>
          <w:rFonts w:asciiTheme="minorEastAsia" w:eastAsiaTheme="minorEastAsia" w:hAnsiTheme="minorEastAsia" w:hint="eastAsia"/>
          <w:sz w:val="24"/>
          <w:szCs w:val="24"/>
        </w:rPr>
        <w:t>存款市场占比</w:t>
      </w:r>
      <w:r>
        <w:rPr>
          <w:rFonts w:asciiTheme="minorEastAsia" w:eastAsiaTheme="minorEastAsia" w:hAnsiTheme="minorEastAsia"/>
          <w:sz w:val="24"/>
          <w:szCs w:val="24"/>
        </w:rPr>
        <w:t>4</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05</w:t>
      </w:r>
      <w:r>
        <w:rPr>
          <w:rFonts w:asciiTheme="minorEastAsia" w:eastAsiaTheme="minorEastAsia" w:hAnsiTheme="minorEastAsia"/>
          <w:sz w:val="24"/>
          <w:szCs w:val="24"/>
        </w:rPr>
        <w:t>%</w:t>
      </w:r>
      <w:r>
        <w:rPr>
          <w:rFonts w:asciiTheme="minorEastAsia" w:eastAsiaTheme="minorEastAsia" w:hAnsiTheme="minorEastAsia" w:hint="eastAsia"/>
          <w:sz w:val="24"/>
          <w:szCs w:val="24"/>
        </w:rPr>
        <w:t>，存款市场份额继续保持信宜市银行业金融机构首位。</w:t>
      </w:r>
    </w:p>
    <w:p w:rsidR="008768CC" w:rsidRDefault="008768CC" w:rsidP="008768CC">
      <w:pPr>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2.贷款业务</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报告期内，本行持续提高“三农”金融服务质量，加大对中小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的支持力度，有效促进地方经济发展。推出了整村授信、支农再贷款等新贷款品种。截至2023年12月末，各项贷款余额137.01亿元，比年初增加1.96亿元，贷款市场占有率为38.68%，继续保持信宜市银行业金融机构首位。其中，涉农贷款余额89.78亿元，比年初增加2.33亿元，占贷款总量的65.5%</w:t>
      </w:r>
      <w:r>
        <w:rPr>
          <w:rFonts w:asciiTheme="minorEastAsia" w:eastAsiaTheme="minorEastAsia" w:hAnsiTheme="minorEastAsia"/>
          <w:sz w:val="24"/>
          <w:szCs w:val="24"/>
        </w:rPr>
        <w:t>，涉农贷款居信宜市银行业金融机构首位。</w:t>
      </w:r>
    </w:p>
    <w:p w:rsidR="008768CC" w:rsidRDefault="008768CC" w:rsidP="008768CC">
      <w:pPr>
        <w:numPr>
          <w:ilvl w:val="0"/>
          <w:numId w:val="1"/>
        </w:numPr>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代理理财业务</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报告期内，本行为</w:t>
      </w:r>
      <w:r>
        <w:rPr>
          <w:rFonts w:asciiTheme="minorEastAsia" w:eastAsiaTheme="minorEastAsia" w:hAnsiTheme="minorEastAsia" w:cs="宋体" w:hint="eastAsia"/>
          <w:sz w:val="24"/>
          <w:szCs w:val="24"/>
        </w:rPr>
        <w:t>满足广大客户对理财产品的需求，提供更优质更全面的金融服务，</w:t>
      </w:r>
      <w:r>
        <w:rPr>
          <w:rFonts w:asciiTheme="minorEastAsia" w:eastAsiaTheme="minorEastAsia" w:hAnsiTheme="minorEastAsia" w:hint="eastAsia"/>
          <w:sz w:val="24"/>
          <w:szCs w:val="24"/>
        </w:rPr>
        <w:t>开展了代理理财业务。全行代理理财业务共33期，业务交易笔数2495笔，代理理财销售总金额3.33亿元。</w:t>
      </w:r>
    </w:p>
    <w:p w:rsidR="008768CC" w:rsidRDefault="008768CC" w:rsidP="008768CC">
      <w:pPr>
        <w:spacing w:line="5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hint="eastAsia"/>
          <w:b/>
          <w:sz w:val="24"/>
          <w:szCs w:val="24"/>
        </w:rPr>
        <w:t>4.代理保险业务</w:t>
      </w:r>
    </w:p>
    <w:p w:rsidR="008768CC" w:rsidRDefault="008768CC" w:rsidP="008768CC">
      <w:pPr>
        <w:tabs>
          <w:tab w:val="left" w:pos="360"/>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报告期内，本行紧跟市场变化，为满足客户多元化金融需求，推出了代理保险业务。全行代理保险业务总笔数118笔，代理保险销售总金额21.45万元。</w:t>
      </w:r>
    </w:p>
    <w:p w:rsidR="008768CC" w:rsidRDefault="008768CC" w:rsidP="008768CC">
      <w:pPr>
        <w:tabs>
          <w:tab w:val="left" w:pos="360"/>
        </w:tabs>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5.电子银行业务</w:t>
      </w:r>
    </w:p>
    <w:p w:rsidR="008768CC" w:rsidRPr="00ED419F" w:rsidRDefault="008768CC" w:rsidP="008768CC">
      <w:pPr>
        <w:spacing w:line="500" w:lineRule="exact"/>
        <w:ind w:firstLineChars="0" w:firstLine="0"/>
        <w:rPr>
          <w:rFonts w:asciiTheme="minorEastAsia" w:eastAsiaTheme="minorEastAsia" w:hAnsiTheme="minorEastAsia"/>
          <w:sz w:val="24"/>
          <w:szCs w:val="24"/>
        </w:rPr>
      </w:pPr>
      <w:r w:rsidRPr="00ED419F">
        <w:rPr>
          <w:rFonts w:asciiTheme="minorEastAsia" w:eastAsiaTheme="minorEastAsia" w:hAnsiTheme="minorEastAsia" w:hint="eastAsia"/>
          <w:sz w:val="24"/>
          <w:szCs w:val="24"/>
        </w:rPr>
        <w:t>报告期内，本行紧跟市场变化，着力推进金融互联网建设，致力提升移动金融服务效率与客户体验改善。2023年，信息科技部在全行53个网点全面普及智慧柜台，截至年未，已开通智慧柜台95台，覆盖全辖所有网点，实现了全辖网点无差别办理业务。截止2023年12月末，我行共设置了在行、离行式柜员机93台，其中在行式57个网点79台，离行式12个，服务点14台。至2023年底我行手机银行共33.3万户，2023年手机银行交易业务108.05万笔。网上银行共13.84万户，2023年5.6万笔。电子银行业务稳步提升。</w:t>
      </w:r>
    </w:p>
    <w:p w:rsidR="008768CC" w:rsidRDefault="008768CC" w:rsidP="008768CC">
      <w:pPr>
        <w:tabs>
          <w:tab w:val="left" w:pos="3150"/>
        </w:tabs>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6.金融市场业务</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报告期内，本行坚持加快金融市场业务向高质量发展转型，通过强化投</w:t>
      </w:r>
      <w:proofErr w:type="gramStart"/>
      <w:r>
        <w:rPr>
          <w:rFonts w:asciiTheme="minorEastAsia" w:eastAsiaTheme="minorEastAsia" w:hAnsiTheme="minorEastAsia" w:hint="eastAsia"/>
          <w:sz w:val="24"/>
          <w:szCs w:val="24"/>
        </w:rPr>
        <w:t>研</w:t>
      </w:r>
      <w:proofErr w:type="gramEnd"/>
      <w:r>
        <w:rPr>
          <w:rFonts w:asciiTheme="minorEastAsia" w:eastAsiaTheme="minorEastAsia" w:hAnsiTheme="minorEastAsia" w:hint="eastAsia"/>
          <w:sz w:val="24"/>
          <w:szCs w:val="24"/>
        </w:rPr>
        <w:t>、踏准节奏、精准操作，灵活进行资产配置，优化资产负债结构，推动业务高质量可持续发展。年度内，积极开展债券投资、同业存单投资、存放同业、票据转贴现等业务，深度参与金融市场运作。</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8.4风险管理</w:t>
      </w:r>
    </w:p>
    <w:p w:rsidR="008768CC" w:rsidRDefault="008768CC" w:rsidP="008768CC">
      <w:pPr>
        <w:spacing w:line="48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1.风险管理组织架构</w:t>
      </w:r>
    </w:p>
    <w:p w:rsidR="008768CC" w:rsidRDefault="008768CC" w:rsidP="008768CC">
      <w:pPr>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本行按照确保持续发展、审慎合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经营、风险可控的风险管理目标，建立了分工合理职责明晰的风险管理组织体系，由董事会、监事会、经营管理层、总行合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与风险管理部、各类风险主管部门及各分支机构等组成。进一步完善“三会一层”法人治理组织架构，2023年末，董事会下设立7个专业委员会，监事会下设立2个专业委员会，经营管理层下设立10个专业委员会。董事会负责建立和保持有效的风险管理体系，对本行风险管理承担最终责任；董事会下设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与风险管理委员会，授权其履行部分风险管理职责；监事会负责监督风险管理体系的建立和运行；经营管理</w:t>
      </w:r>
      <w:proofErr w:type="gramStart"/>
      <w:r>
        <w:rPr>
          <w:rFonts w:asciiTheme="minorEastAsia" w:eastAsiaTheme="minorEastAsia" w:hAnsiTheme="minorEastAsia" w:hint="eastAsia"/>
          <w:sz w:val="24"/>
          <w:szCs w:val="24"/>
        </w:rPr>
        <w:t>层负责</w:t>
      </w:r>
      <w:proofErr w:type="gramEnd"/>
      <w:r>
        <w:rPr>
          <w:rFonts w:asciiTheme="minorEastAsia" w:eastAsiaTheme="minorEastAsia" w:hAnsiTheme="minorEastAsia" w:hint="eastAsia"/>
          <w:sz w:val="24"/>
          <w:szCs w:val="24"/>
        </w:rPr>
        <w:t>风险管理政策的具体实施和执行。本行搭建了风险管理三道防线，总行各业务部门及各支行为第一道防线；总行合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与风险管理部、各条</w:t>
      </w:r>
      <w:proofErr w:type="gramStart"/>
      <w:r>
        <w:rPr>
          <w:rFonts w:asciiTheme="minorEastAsia" w:eastAsiaTheme="minorEastAsia" w:hAnsiTheme="minorEastAsia" w:hint="eastAsia"/>
          <w:sz w:val="24"/>
          <w:szCs w:val="24"/>
        </w:rPr>
        <w:t>线风控部门</w:t>
      </w:r>
      <w:proofErr w:type="gramEnd"/>
      <w:r>
        <w:rPr>
          <w:rFonts w:asciiTheme="minorEastAsia" w:eastAsiaTheme="minorEastAsia" w:hAnsiTheme="minorEastAsia" w:hint="eastAsia"/>
          <w:sz w:val="24"/>
          <w:szCs w:val="24"/>
        </w:rPr>
        <w:t>为第二道防线的主要部门；总行审计部为第三道防线。</w:t>
      </w:r>
    </w:p>
    <w:p w:rsidR="008768CC" w:rsidRDefault="008768CC" w:rsidP="008768CC">
      <w:pPr>
        <w:spacing w:line="48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2</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风险管理基本情况</w:t>
      </w:r>
    </w:p>
    <w:p w:rsidR="008768CC" w:rsidRDefault="008768CC" w:rsidP="008768CC">
      <w:pPr>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报告期内，本行积极落实监管要求、满足内部管理需要，推进各项风险管理工作，持续完善全面风险管理体系，有效提升全面风险管理水平</w:t>
      </w:r>
      <w:r>
        <w:rPr>
          <w:rFonts w:asciiTheme="minorEastAsia" w:eastAsiaTheme="minorEastAsia" w:hAnsiTheme="minorEastAsia"/>
          <w:sz w:val="24"/>
          <w:szCs w:val="24"/>
        </w:rPr>
        <w:t>；</w:t>
      </w:r>
      <w:r>
        <w:rPr>
          <w:rFonts w:asciiTheme="minorEastAsia" w:eastAsiaTheme="minorEastAsia" w:hAnsiTheme="minorEastAsia" w:hint="eastAsia"/>
          <w:sz w:val="24"/>
          <w:szCs w:val="24"/>
        </w:rPr>
        <w:t>开展了会计业务检查、柜面业务风险排查、存款及柜面操作风险检查、结算账户管理风险排查、</w:t>
      </w:r>
      <w:proofErr w:type="gramStart"/>
      <w:r>
        <w:rPr>
          <w:rFonts w:asciiTheme="minorEastAsia" w:eastAsiaTheme="minorEastAsia" w:hAnsiTheme="minorEastAsia" w:hint="eastAsia"/>
          <w:sz w:val="24"/>
          <w:szCs w:val="24"/>
        </w:rPr>
        <w:t>案防履职</w:t>
      </w:r>
      <w:proofErr w:type="gramEnd"/>
      <w:r>
        <w:rPr>
          <w:rFonts w:asciiTheme="minorEastAsia" w:eastAsiaTheme="minorEastAsia" w:hAnsiTheme="minorEastAsia" w:hint="eastAsia"/>
          <w:sz w:val="24"/>
          <w:szCs w:val="24"/>
        </w:rPr>
        <w:t>检查、印章使用管理情况检查、授权管理专项检查等</w:t>
      </w:r>
      <w:r>
        <w:rPr>
          <w:rFonts w:asciiTheme="minorEastAsia" w:eastAsiaTheme="minorEastAsia" w:hAnsiTheme="minorEastAsia"/>
          <w:sz w:val="24"/>
          <w:szCs w:val="24"/>
        </w:rPr>
        <w:t>，识别本行面临的主要风险，评估风险程度和资本充足情况，合理进行资本规划，形成更稳固的资本防线；持续对信用风险、市场风险、操作风险、流动性风险、银行账户利率风险、声誉风险、战略风险、信息科技风险、合</w:t>
      </w:r>
      <w:proofErr w:type="gramStart"/>
      <w:r>
        <w:rPr>
          <w:rFonts w:asciiTheme="minorEastAsia" w:eastAsiaTheme="minorEastAsia" w:hAnsiTheme="minorEastAsia"/>
          <w:sz w:val="24"/>
          <w:szCs w:val="24"/>
        </w:rPr>
        <w:t>规</w:t>
      </w:r>
      <w:proofErr w:type="gramEnd"/>
      <w:r>
        <w:rPr>
          <w:rFonts w:asciiTheme="minorEastAsia" w:eastAsiaTheme="minorEastAsia" w:hAnsiTheme="minorEastAsia"/>
          <w:sz w:val="24"/>
          <w:szCs w:val="24"/>
        </w:rPr>
        <w:t>风险</w:t>
      </w:r>
      <w:r>
        <w:rPr>
          <w:rFonts w:asciiTheme="minorEastAsia" w:eastAsiaTheme="minorEastAsia" w:hAnsiTheme="minorEastAsia" w:hint="eastAsia"/>
          <w:sz w:val="24"/>
          <w:szCs w:val="24"/>
        </w:rPr>
        <w:t>、洗钱风险</w:t>
      </w:r>
      <w:r>
        <w:rPr>
          <w:rFonts w:asciiTheme="minorEastAsia" w:eastAsiaTheme="minorEastAsia" w:hAnsiTheme="minorEastAsia"/>
          <w:sz w:val="24"/>
          <w:szCs w:val="24"/>
        </w:rPr>
        <w:t>等的管理进行优化提升</w:t>
      </w:r>
      <w:r>
        <w:rPr>
          <w:rFonts w:asciiTheme="minorEastAsia" w:eastAsiaTheme="minorEastAsia" w:hAnsiTheme="minorEastAsia" w:hint="eastAsia"/>
          <w:sz w:val="24"/>
          <w:szCs w:val="24"/>
        </w:rPr>
        <w:t>；加强风险管理的信息系统建设，不断推进风险预警系统的开发和应用。</w:t>
      </w:r>
      <w:r>
        <w:rPr>
          <w:rFonts w:asciiTheme="minorEastAsia" w:eastAsiaTheme="minorEastAsia" w:hAnsiTheme="minorEastAsia"/>
          <w:sz w:val="24"/>
          <w:szCs w:val="24"/>
        </w:rPr>
        <w:t>20</w:t>
      </w:r>
      <w:r>
        <w:rPr>
          <w:rFonts w:asciiTheme="minorEastAsia" w:eastAsiaTheme="minorEastAsia" w:hAnsiTheme="minorEastAsia" w:hint="eastAsia"/>
          <w:sz w:val="24"/>
          <w:szCs w:val="24"/>
        </w:rPr>
        <w:t>23</w:t>
      </w:r>
      <w:r>
        <w:rPr>
          <w:rFonts w:asciiTheme="minorEastAsia" w:eastAsiaTheme="minorEastAsia" w:hAnsiTheme="minorEastAsia"/>
          <w:sz w:val="24"/>
          <w:szCs w:val="24"/>
        </w:rPr>
        <w:t>年度，</w:t>
      </w:r>
      <w:r>
        <w:rPr>
          <w:rFonts w:asciiTheme="minorEastAsia" w:eastAsiaTheme="minorEastAsia" w:hAnsiTheme="minorEastAsia" w:hint="eastAsia"/>
          <w:sz w:val="24"/>
          <w:szCs w:val="24"/>
        </w:rPr>
        <w:t>本行</w:t>
      </w:r>
      <w:r>
        <w:rPr>
          <w:rFonts w:asciiTheme="minorEastAsia" w:eastAsiaTheme="minorEastAsia" w:hAnsiTheme="minorEastAsia"/>
          <w:sz w:val="24"/>
          <w:szCs w:val="24"/>
        </w:rPr>
        <w:t>业务经营总体平稳，稳中向好，整体风险可控，资本充足状况良好，各级资本充足率和主要监管指标均符合监管要求。</w:t>
      </w:r>
    </w:p>
    <w:p w:rsidR="008768CC" w:rsidRDefault="008768CC" w:rsidP="008768CC">
      <w:pPr>
        <w:spacing w:line="48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3.信用风险状况</w:t>
      </w:r>
    </w:p>
    <w:p w:rsidR="008768CC" w:rsidRDefault="008768CC" w:rsidP="008768CC">
      <w:pPr>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信用风险是指债务人或交易对手未能履行合同所规定的义务或信用质量发生变化，影响金融产品价值，从而给本行造成损失的风险。本行信用风险主要来自于贷款业务。2023年，本行贯彻落实国家宏观调控政策，坚持稳中求进，持续优化信贷管理，完善风险防范、预警和处置机制，加强重点领域风险防控，夯实风险管理基础，保持信贷资产质量稳定。</w:t>
      </w:r>
    </w:p>
    <w:p w:rsidR="008768CC" w:rsidRDefault="008768CC" w:rsidP="008768CC">
      <w:pPr>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（1）信用风险管理架构</w:t>
      </w:r>
    </w:p>
    <w:p w:rsidR="008768CC" w:rsidRDefault="008768CC" w:rsidP="008768CC">
      <w:pPr>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董事会是本行的信用风险预警管理最高决策机构，董事会授权合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与风险管理委员会履行其职责，主要职责包括：负责根据全面风险管理的要求，核准信用风险管理战略和风险偏好，审定信用风险管理的基本政策和程序，决定信用风险管理工作的重大事项，听取信用风险预警相关事项的报告，提出信用风险预警工作相关的指导意见，构建全面、有效的信用风险预警管理体系。</w:t>
      </w:r>
    </w:p>
    <w:p w:rsidR="008768CC" w:rsidRDefault="008768CC" w:rsidP="008768CC">
      <w:pPr>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针对可能诱发的信用风险，本行结合自身实际情况，加强制度建设，不断完善优化制度、流程，明确应控制的风险点，有针对性建立风险控制措施；组织实行授信管理，及时调整</w:t>
      </w:r>
      <w:proofErr w:type="gramStart"/>
      <w:r>
        <w:rPr>
          <w:rFonts w:asciiTheme="minorEastAsia" w:eastAsiaTheme="minorEastAsia" w:hAnsiTheme="minorEastAsia" w:hint="eastAsia"/>
          <w:sz w:val="24"/>
          <w:szCs w:val="24"/>
        </w:rPr>
        <w:t>信贷类授信</w:t>
      </w:r>
      <w:proofErr w:type="gramEnd"/>
      <w:r>
        <w:rPr>
          <w:rFonts w:asciiTheme="minorEastAsia" w:eastAsiaTheme="minorEastAsia" w:hAnsiTheme="minorEastAsia" w:hint="eastAsia"/>
          <w:sz w:val="24"/>
          <w:szCs w:val="24"/>
        </w:rPr>
        <w:t>业务审批权限及规范审批工作流程，健全客户信用风险识别与监测体系，完善决策与审批机制，严格执行客户信用等级评定制度，实行职责明确、相互制约的流程控制制度。加快处置新增不良贷款，严防信用风险进一步恶化；降低中长期贷款比例，有效预防流动风险的发生；并采取多种方式处置不良资产。截至2023年12月末，本行不良贷款余额1.16亿元，同比下降0.04亿元，降幅3.22%；不良贷款率0.85%，同比下降0.04个百分点。</w:t>
      </w:r>
    </w:p>
    <w:p w:rsidR="008768CC" w:rsidRDefault="008768CC" w:rsidP="008768CC">
      <w:pPr>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（2）资产风险分类</w:t>
      </w:r>
    </w:p>
    <w:p w:rsidR="008768CC" w:rsidRDefault="008768CC" w:rsidP="008768CC">
      <w:pPr>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根据《广东信宜农村商业银行股份有限公司信贷资产七级分类实施办法（2022年版）》要求，对信贷资产进行分类。分类遵循真实性、及时性、重要性、审慎性、灵活性原则，按流程、权限进行；基本程序包括分类初分、分类认定、分类审批。通过对借款人财务、非财务、现金流量和担保等因素的连续监测和分析，动态、真实地反映借款人各个时期的还款能力、还款意愿及贷款风险变化情况，判断贷款的实际损失程度，并按照风险程度将信贷资产分为正常一、正常二、关注一、关注二、次级、可疑和损失等七类。</w:t>
      </w: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贷款五级分类分布情况</w:t>
      </w:r>
    </w:p>
    <w:p w:rsidR="008768CC" w:rsidRDefault="008768CC" w:rsidP="008768CC">
      <w:pPr>
        <w:pStyle w:val="aff6"/>
        <w:wordWrap w:val="0"/>
        <w:ind w:firstLineChars="0" w:firstLine="5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单位：万元 </w:t>
      </w:r>
    </w:p>
    <w:tbl>
      <w:tblPr>
        <w:tblW w:w="4999" w:type="pct"/>
        <w:jc w:val="center"/>
        <w:tblLook w:val="04A0" w:firstRow="1" w:lastRow="0" w:firstColumn="1" w:lastColumn="0" w:noHBand="0" w:noVBand="1"/>
      </w:tblPr>
      <w:tblGrid>
        <w:gridCol w:w="2704"/>
        <w:gridCol w:w="1692"/>
        <w:gridCol w:w="1189"/>
        <w:gridCol w:w="1836"/>
        <w:gridCol w:w="1694"/>
      </w:tblGrid>
      <w:tr w:rsidR="008768CC" w:rsidTr="00293A0E">
        <w:trPr>
          <w:trHeight w:val="340"/>
          <w:jc w:val="center"/>
        </w:trPr>
        <w:tc>
          <w:tcPr>
            <w:tcW w:w="1482" w:type="pct"/>
            <w:vMerge w:val="restart"/>
            <w:tcBorders>
              <w:top w:val="single" w:sz="8" w:space="0" w:color="auto"/>
              <w:left w:val="single" w:sz="8" w:space="0" w:color="auto"/>
              <w:bottom w:val="single" w:sz="8" w:space="0" w:color="000000"/>
              <w:right w:val="single" w:sz="8"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类别</w:t>
            </w:r>
          </w:p>
        </w:tc>
        <w:tc>
          <w:tcPr>
            <w:tcW w:w="1580" w:type="pct"/>
            <w:gridSpan w:val="2"/>
            <w:tcBorders>
              <w:top w:val="single" w:sz="8" w:space="0" w:color="auto"/>
              <w:left w:val="nil"/>
              <w:bottom w:val="single" w:sz="4" w:space="0" w:color="auto"/>
              <w:right w:val="single" w:sz="8" w:space="0" w:color="000000"/>
            </w:tcBorders>
            <w:vAlign w:val="center"/>
          </w:tcPr>
          <w:p w:rsidR="008768CC" w:rsidRDefault="008768CC" w:rsidP="00293A0E">
            <w:pPr>
              <w:spacing w:line="500" w:lineRule="exact"/>
              <w:ind w:firstLineChars="0" w:firstLine="0"/>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2023年</w:t>
            </w:r>
          </w:p>
        </w:tc>
        <w:tc>
          <w:tcPr>
            <w:tcW w:w="1936" w:type="pct"/>
            <w:gridSpan w:val="2"/>
            <w:tcBorders>
              <w:top w:val="single" w:sz="8" w:space="0" w:color="auto"/>
              <w:left w:val="nil"/>
              <w:bottom w:val="single" w:sz="8" w:space="0" w:color="auto"/>
              <w:right w:val="single" w:sz="8" w:space="0" w:color="000000"/>
            </w:tcBorders>
            <w:noWrap/>
            <w:vAlign w:val="center"/>
          </w:tcPr>
          <w:p w:rsidR="008768CC" w:rsidRDefault="008768CC" w:rsidP="00293A0E">
            <w:pPr>
              <w:spacing w:line="500" w:lineRule="exact"/>
              <w:ind w:firstLineChars="0" w:firstLine="0"/>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2022年</w:t>
            </w:r>
          </w:p>
        </w:tc>
      </w:tr>
      <w:tr w:rsidR="008768CC" w:rsidTr="00293A0E">
        <w:trPr>
          <w:trHeight w:val="340"/>
          <w:jc w:val="center"/>
        </w:trPr>
        <w:tc>
          <w:tcPr>
            <w:tcW w:w="1482" w:type="pct"/>
            <w:vMerge/>
            <w:tcBorders>
              <w:top w:val="single" w:sz="8" w:space="0" w:color="auto"/>
              <w:left w:val="single" w:sz="8" w:space="0" w:color="auto"/>
              <w:bottom w:val="single" w:sz="8" w:space="0" w:color="000000"/>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sz w:val="22"/>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金额</w:t>
            </w:r>
          </w:p>
        </w:tc>
        <w:tc>
          <w:tcPr>
            <w:tcW w:w="652"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占比</w:t>
            </w:r>
          </w:p>
        </w:tc>
        <w:tc>
          <w:tcPr>
            <w:tcW w:w="1007" w:type="pct"/>
            <w:tcBorders>
              <w:top w:val="nil"/>
              <w:left w:val="single" w:sz="4" w:space="0" w:color="auto"/>
              <w:bottom w:val="single" w:sz="8" w:space="0" w:color="auto"/>
              <w:right w:val="single" w:sz="8"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金额</w:t>
            </w:r>
          </w:p>
        </w:tc>
        <w:tc>
          <w:tcPr>
            <w:tcW w:w="929" w:type="pct"/>
            <w:tcBorders>
              <w:top w:val="nil"/>
              <w:left w:val="nil"/>
              <w:bottom w:val="single" w:sz="8" w:space="0" w:color="auto"/>
              <w:right w:val="single" w:sz="8"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占比</w:t>
            </w:r>
          </w:p>
        </w:tc>
      </w:tr>
      <w:tr w:rsidR="008768CC" w:rsidTr="00293A0E">
        <w:trPr>
          <w:trHeight w:val="340"/>
          <w:jc w:val="center"/>
        </w:trPr>
        <w:tc>
          <w:tcPr>
            <w:tcW w:w="1482" w:type="pct"/>
            <w:tcBorders>
              <w:top w:val="nil"/>
              <w:left w:val="single" w:sz="8" w:space="0" w:color="auto"/>
              <w:bottom w:val="single" w:sz="8" w:space="0" w:color="auto"/>
              <w:right w:val="single" w:sz="4" w:space="0" w:color="auto"/>
            </w:tcBorders>
            <w:noWrap/>
            <w:vAlign w:val="center"/>
          </w:tcPr>
          <w:p w:rsidR="008768CC" w:rsidRDefault="008768CC" w:rsidP="00293A0E">
            <w:pPr>
              <w:spacing w:line="500" w:lineRule="exact"/>
              <w:ind w:firstLine="440"/>
              <w:rPr>
                <w:rFonts w:asciiTheme="minorEastAsia" w:eastAsiaTheme="minorEastAsia" w:hAnsiTheme="minorEastAsia"/>
                <w:sz w:val="22"/>
                <w:szCs w:val="24"/>
              </w:rPr>
            </w:pPr>
            <w:r>
              <w:rPr>
                <w:rFonts w:asciiTheme="minorEastAsia" w:eastAsiaTheme="minorEastAsia" w:hAnsiTheme="minorEastAsia" w:hint="eastAsia"/>
                <w:sz w:val="22"/>
                <w:szCs w:val="24"/>
              </w:rPr>
              <w:t>贷款总额</w:t>
            </w:r>
          </w:p>
        </w:tc>
        <w:tc>
          <w:tcPr>
            <w:tcW w:w="92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1370750.24</w:t>
            </w:r>
          </w:p>
        </w:tc>
        <w:tc>
          <w:tcPr>
            <w:tcW w:w="652"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100%</w:t>
            </w:r>
          </w:p>
        </w:tc>
        <w:tc>
          <w:tcPr>
            <w:tcW w:w="1007" w:type="pct"/>
            <w:tcBorders>
              <w:top w:val="nil"/>
              <w:left w:val="single" w:sz="4" w:space="0" w:color="auto"/>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1351163.38</w:t>
            </w:r>
          </w:p>
        </w:tc>
        <w:tc>
          <w:tcPr>
            <w:tcW w:w="929"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198"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100%</w:t>
            </w:r>
          </w:p>
        </w:tc>
      </w:tr>
      <w:tr w:rsidR="008768CC" w:rsidTr="00293A0E">
        <w:trPr>
          <w:trHeight w:val="340"/>
          <w:jc w:val="center"/>
        </w:trPr>
        <w:tc>
          <w:tcPr>
            <w:tcW w:w="1482" w:type="pct"/>
            <w:tcBorders>
              <w:top w:val="nil"/>
              <w:left w:val="single" w:sz="8" w:space="0" w:color="auto"/>
              <w:bottom w:val="single" w:sz="8" w:space="0" w:color="auto"/>
              <w:right w:val="single" w:sz="4" w:space="0" w:color="auto"/>
            </w:tcBorders>
            <w:noWrap/>
            <w:vAlign w:val="center"/>
          </w:tcPr>
          <w:p w:rsidR="008768CC" w:rsidRDefault="008768CC" w:rsidP="008768CC">
            <w:pPr>
              <w:spacing w:line="500" w:lineRule="exact"/>
              <w:ind w:rightChars="-130" w:right="-416" w:firstLine="440"/>
              <w:rPr>
                <w:rFonts w:asciiTheme="minorEastAsia" w:eastAsiaTheme="minorEastAsia" w:hAnsiTheme="minorEastAsia"/>
                <w:sz w:val="22"/>
                <w:szCs w:val="24"/>
              </w:rPr>
            </w:pPr>
            <w:r>
              <w:rPr>
                <w:rFonts w:asciiTheme="minorEastAsia" w:eastAsiaTheme="minorEastAsia" w:hAnsiTheme="minorEastAsia" w:hint="eastAsia"/>
                <w:sz w:val="22"/>
                <w:szCs w:val="24"/>
              </w:rPr>
              <w:t>正常贷款</w:t>
            </w:r>
          </w:p>
        </w:tc>
        <w:tc>
          <w:tcPr>
            <w:tcW w:w="92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1359124.83</w:t>
            </w:r>
          </w:p>
        </w:tc>
        <w:tc>
          <w:tcPr>
            <w:tcW w:w="652"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99.15%</w:t>
            </w:r>
          </w:p>
        </w:tc>
        <w:tc>
          <w:tcPr>
            <w:tcW w:w="1007" w:type="pct"/>
            <w:tcBorders>
              <w:top w:val="nil"/>
              <w:left w:val="single" w:sz="4" w:space="0" w:color="auto"/>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1339151.66</w:t>
            </w:r>
          </w:p>
        </w:tc>
        <w:tc>
          <w:tcPr>
            <w:tcW w:w="929"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99.11%</w:t>
            </w:r>
          </w:p>
        </w:tc>
      </w:tr>
      <w:tr w:rsidR="008768CC" w:rsidTr="00293A0E">
        <w:trPr>
          <w:trHeight w:val="340"/>
          <w:jc w:val="center"/>
        </w:trPr>
        <w:tc>
          <w:tcPr>
            <w:tcW w:w="1482" w:type="pct"/>
            <w:tcBorders>
              <w:top w:val="nil"/>
              <w:left w:val="single" w:sz="8" w:space="0" w:color="auto"/>
              <w:bottom w:val="single" w:sz="8" w:space="0" w:color="auto"/>
              <w:right w:val="single" w:sz="4" w:space="0" w:color="auto"/>
            </w:tcBorders>
            <w:noWrap/>
            <w:vAlign w:val="center"/>
          </w:tcPr>
          <w:p w:rsidR="008768CC" w:rsidRDefault="008768CC" w:rsidP="00293A0E">
            <w:pPr>
              <w:spacing w:line="500" w:lineRule="exact"/>
              <w:ind w:firstLine="440"/>
              <w:rPr>
                <w:rFonts w:asciiTheme="minorEastAsia" w:eastAsiaTheme="minorEastAsia" w:hAnsiTheme="minorEastAsia"/>
                <w:sz w:val="22"/>
                <w:szCs w:val="24"/>
              </w:rPr>
            </w:pPr>
            <w:r>
              <w:rPr>
                <w:rFonts w:asciiTheme="minorEastAsia" w:eastAsiaTheme="minorEastAsia" w:hAnsiTheme="minorEastAsia" w:hint="eastAsia"/>
                <w:sz w:val="22"/>
                <w:szCs w:val="24"/>
              </w:rPr>
              <w:t>其中：正常类</w:t>
            </w:r>
          </w:p>
        </w:tc>
        <w:tc>
          <w:tcPr>
            <w:tcW w:w="92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1297936.86</w:t>
            </w:r>
          </w:p>
        </w:tc>
        <w:tc>
          <w:tcPr>
            <w:tcW w:w="652"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94.69%</w:t>
            </w:r>
          </w:p>
        </w:tc>
        <w:tc>
          <w:tcPr>
            <w:tcW w:w="1007" w:type="pct"/>
            <w:tcBorders>
              <w:top w:val="nil"/>
              <w:left w:val="single" w:sz="4" w:space="0" w:color="auto"/>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1287887.72</w:t>
            </w:r>
          </w:p>
        </w:tc>
        <w:tc>
          <w:tcPr>
            <w:tcW w:w="929"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    95.32%</w:t>
            </w:r>
          </w:p>
        </w:tc>
      </w:tr>
      <w:tr w:rsidR="008768CC" w:rsidTr="00293A0E">
        <w:trPr>
          <w:trHeight w:val="340"/>
          <w:jc w:val="center"/>
        </w:trPr>
        <w:tc>
          <w:tcPr>
            <w:tcW w:w="1482" w:type="pct"/>
            <w:tcBorders>
              <w:top w:val="nil"/>
              <w:left w:val="single" w:sz="8" w:space="0" w:color="auto"/>
              <w:bottom w:val="single" w:sz="8" w:space="0" w:color="auto"/>
              <w:right w:val="single" w:sz="4" w:space="0" w:color="auto"/>
            </w:tcBorders>
            <w:noWrap/>
            <w:vAlign w:val="center"/>
          </w:tcPr>
          <w:p w:rsidR="008768CC" w:rsidRDefault="008768CC" w:rsidP="00293A0E">
            <w:pPr>
              <w:spacing w:line="500" w:lineRule="exact"/>
              <w:ind w:firstLine="440"/>
              <w:rPr>
                <w:rFonts w:asciiTheme="minorEastAsia" w:eastAsiaTheme="minorEastAsia" w:hAnsiTheme="minorEastAsia"/>
                <w:sz w:val="22"/>
                <w:szCs w:val="24"/>
              </w:rPr>
            </w:pPr>
            <w:r>
              <w:rPr>
                <w:rFonts w:asciiTheme="minorEastAsia" w:eastAsiaTheme="minorEastAsia" w:hAnsiTheme="minorEastAsia" w:hint="eastAsia"/>
                <w:sz w:val="22"/>
                <w:szCs w:val="24"/>
              </w:rPr>
              <w:t>关注类</w:t>
            </w:r>
          </w:p>
        </w:tc>
        <w:tc>
          <w:tcPr>
            <w:tcW w:w="92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61187.97</w:t>
            </w:r>
          </w:p>
        </w:tc>
        <w:tc>
          <w:tcPr>
            <w:tcW w:w="652"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4.46%</w:t>
            </w:r>
          </w:p>
        </w:tc>
        <w:tc>
          <w:tcPr>
            <w:tcW w:w="1007" w:type="pct"/>
            <w:tcBorders>
              <w:top w:val="nil"/>
              <w:left w:val="single" w:sz="4" w:space="0" w:color="auto"/>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51263.94</w:t>
            </w:r>
          </w:p>
        </w:tc>
        <w:tc>
          <w:tcPr>
            <w:tcW w:w="929"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     3.79%</w:t>
            </w:r>
          </w:p>
        </w:tc>
      </w:tr>
      <w:tr w:rsidR="008768CC" w:rsidTr="00293A0E">
        <w:trPr>
          <w:trHeight w:val="340"/>
          <w:jc w:val="center"/>
        </w:trPr>
        <w:tc>
          <w:tcPr>
            <w:tcW w:w="1482" w:type="pct"/>
            <w:tcBorders>
              <w:top w:val="nil"/>
              <w:left w:val="single" w:sz="8" w:space="0" w:color="auto"/>
              <w:bottom w:val="single" w:sz="8" w:space="0" w:color="auto"/>
              <w:right w:val="single" w:sz="4" w:space="0" w:color="auto"/>
            </w:tcBorders>
            <w:noWrap/>
            <w:vAlign w:val="center"/>
          </w:tcPr>
          <w:p w:rsidR="008768CC" w:rsidRDefault="008768CC" w:rsidP="00293A0E">
            <w:pPr>
              <w:spacing w:line="500" w:lineRule="exact"/>
              <w:ind w:firstLine="440"/>
              <w:rPr>
                <w:rFonts w:asciiTheme="minorEastAsia" w:eastAsiaTheme="minorEastAsia" w:hAnsiTheme="minorEastAsia"/>
                <w:sz w:val="22"/>
                <w:szCs w:val="24"/>
              </w:rPr>
            </w:pPr>
            <w:r>
              <w:rPr>
                <w:rFonts w:asciiTheme="minorEastAsia" w:eastAsiaTheme="minorEastAsia" w:hAnsiTheme="minorEastAsia" w:hint="eastAsia"/>
                <w:sz w:val="22"/>
                <w:szCs w:val="24"/>
              </w:rPr>
              <w:t>不良贷款</w:t>
            </w:r>
          </w:p>
        </w:tc>
        <w:tc>
          <w:tcPr>
            <w:tcW w:w="92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11625.41</w:t>
            </w:r>
          </w:p>
        </w:tc>
        <w:tc>
          <w:tcPr>
            <w:tcW w:w="652"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0.85%</w:t>
            </w:r>
          </w:p>
        </w:tc>
        <w:tc>
          <w:tcPr>
            <w:tcW w:w="1007" w:type="pct"/>
            <w:tcBorders>
              <w:top w:val="nil"/>
              <w:left w:val="single" w:sz="4" w:space="0" w:color="auto"/>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12011.72</w:t>
            </w:r>
          </w:p>
        </w:tc>
        <w:tc>
          <w:tcPr>
            <w:tcW w:w="929"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 0.89%</w:t>
            </w:r>
          </w:p>
        </w:tc>
      </w:tr>
      <w:tr w:rsidR="008768CC" w:rsidTr="00293A0E">
        <w:trPr>
          <w:trHeight w:val="340"/>
          <w:jc w:val="center"/>
        </w:trPr>
        <w:tc>
          <w:tcPr>
            <w:tcW w:w="1482" w:type="pct"/>
            <w:tcBorders>
              <w:top w:val="nil"/>
              <w:left w:val="single" w:sz="8" w:space="0" w:color="auto"/>
              <w:bottom w:val="single" w:sz="8" w:space="0" w:color="auto"/>
              <w:right w:val="single" w:sz="4" w:space="0" w:color="auto"/>
            </w:tcBorders>
            <w:noWrap/>
            <w:vAlign w:val="center"/>
          </w:tcPr>
          <w:p w:rsidR="008768CC" w:rsidRDefault="008768CC" w:rsidP="00293A0E">
            <w:pPr>
              <w:spacing w:line="500" w:lineRule="exact"/>
              <w:ind w:firstLine="440"/>
              <w:rPr>
                <w:rFonts w:asciiTheme="minorEastAsia" w:eastAsiaTheme="minorEastAsia" w:hAnsiTheme="minorEastAsia"/>
                <w:sz w:val="22"/>
                <w:szCs w:val="24"/>
              </w:rPr>
            </w:pPr>
            <w:r>
              <w:rPr>
                <w:rFonts w:asciiTheme="minorEastAsia" w:eastAsiaTheme="minorEastAsia" w:hAnsiTheme="minorEastAsia" w:hint="eastAsia"/>
                <w:sz w:val="22"/>
                <w:szCs w:val="24"/>
              </w:rPr>
              <w:t>其中：次级类</w:t>
            </w:r>
          </w:p>
        </w:tc>
        <w:tc>
          <w:tcPr>
            <w:tcW w:w="92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6360.38</w:t>
            </w:r>
          </w:p>
        </w:tc>
        <w:tc>
          <w:tcPr>
            <w:tcW w:w="652"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0.46%</w:t>
            </w:r>
          </w:p>
        </w:tc>
        <w:tc>
          <w:tcPr>
            <w:tcW w:w="1007" w:type="pct"/>
            <w:tcBorders>
              <w:top w:val="nil"/>
              <w:left w:val="single" w:sz="4" w:space="0" w:color="auto"/>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4487.84</w:t>
            </w:r>
          </w:p>
        </w:tc>
        <w:tc>
          <w:tcPr>
            <w:tcW w:w="929"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0.33%</w:t>
            </w:r>
          </w:p>
        </w:tc>
      </w:tr>
      <w:tr w:rsidR="008768CC" w:rsidTr="00293A0E">
        <w:trPr>
          <w:trHeight w:val="340"/>
          <w:jc w:val="center"/>
        </w:trPr>
        <w:tc>
          <w:tcPr>
            <w:tcW w:w="1482" w:type="pct"/>
            <w:tcBorders>
              <w:top w:val="nil"/>
              <w:left w:val="single" w:sz="8" w:space="0" w:color="auto"/>
              <w:bottom w:val="single" w:sz="8" w:space="0" w:color="auto"/>
              <w:right w:val="single" w:sz="4" w:space="0" w:color="auto"/>
            </w:tcBorders>
            <w:noWrap/>
            <w:vAlign w:val="center"/>
          </w:tcPr>
          <w:p w:rsidR="008768CC" w:rsidRDefault="008768CC" w:rsidP="00293A0E">
            <w:pPr>
              <w:spacing w:line="500" w:lineRule="exact"/>
              <w:ind w:firstLine="440"/>
              <w:rPr>
                <w:rFonts w:asciiTheme="minorEastAsia" w:eastAsiaTheme="minorEastAsia" w:hAnsiTheme="minorEastAsia"/>
                <w:sz w:val="22"/>
                <w:szCs w:val="24"/>
              </w:rPr>
            </w:pPr>
            <w:r>
              <w:rPr>
                <w:rFonts w:asciiTheme="minorEastAsia" w:eastAsiaTheme="minorEastAsia" w:hAnsiTheme="minorEastAsia" w:hint="eastAsia"/>
                <w:sz w:val="22"/>
                <w:szCs w:val="24"/>
              </w:rPr>
              <w:t>可疑类</w:t>
            </w:r>
          </w:p>
        </w:tc>
        <w:tc>
          <w:tcPr>
            <w:tcW w:w="92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4948.74</w:t>
            </w:r>
          </w:p>
        </w:tc>
        <w:tc>
          <w:tcPr>
            <w:tcW w:w="652"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0.36%</w:t>
            </w:r>
          </w:p>
        </w:tc>
        <w:tc>
          <w:tcPr>
            <w:tcW w:w="1007" w:type="pct"/>
            <w:tcBorders>
              <w:top w:val="nil"/>
              <w:left w:val="single" w:sz="4" w:space="0" w:color="auto"/>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7496.85</w:t>
            </w:r>
          </w:p>
        </w:tc>
        <w:tc>
          <w:tcPr>
            <w:tcW w:w="929"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0.55%</w:t>
            </w:r>
          </w:p>
        </w:tc>
      </w:tr>
      <w:tr w:rsidR="008768CC" w:rsidTr="00293A0E">
        <w:trPr>
          <w:trHeight w:val="340"/>
          <w:jc w:val="center"/>
        </w:trPr>
        <w:tc>
          <w:tcPr>
            <w:tcW w:w="1482" w:type="pct"/>
            <w:tcBorders>
              <w:top w:val="nil"/>
              <w:left w:val="single" w:sz="8" w:space="0" w:color="auto"/>
              <w:bottom w:val="single" w:sz="8" w:space="0" w:color="auto"/>
              <w:right w:val="single" w:sz="4" w:space="0" w:color="auto"/>
            </w:tcBorders>
            <w:noWrap/>
            <w:vAlign w:val="center"/>
          </w:tcPr>
          <w:p w:rsidR="008768CC" w:rsidRDefault="008768CC" w:rsidP="00293A0E">
            <w:pPr>
              <w:spacing w:line="500" w:lineRule="exact"/>
              <w:ind w:firstLine="440"/>
              <w:rPr>
                <w:rFonts w:asciiTheme="minorEastAsia" w:eastAsiaTheme="minorEastAsia" w:hAnsiTheme="minorEastAsia"/>
                <w:sz w:val="22"/>
                <w:szCs w:val="24"/>
              </w:rPr>
            </w:pPr>
            <w:r>
              <w:rPr>
                <w:rFonts w:asciiTheme="minorEastAsia" w:eastAsiaTheme="minorEastAsia" w:hAnsiTheme="minorEastAsia" w:hint="eastAsia"/>
                <w:sz w:val="22"/>
                <w:szCs w:val="24"/>
              </w:rPr>
              <w:t>损失类</w:t>
            </w:r>
          </w:p>
        </w:tc>
        <w:tc>
          <w:tcPr>
            <w:tcW w:w="92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316.29</w:t>
            </w:r>
          </w:p>
        </w:tc>
        <w:tc>
          <w:tcPr>
            <w:tcW w:w="652"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0.02%</w:t>
            </w:r>
          </w:p>
        </w:tc>
        <w:tc>
          <w:tcPr>
            <w:tcW w:w="1007" w:type="pct"/>
            <w:tcBorders>
              <w:top w:val="nil"/>
              <w:left w:val="single" w:sz="4" w:space="0" w:color="auto"/>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27.03</w:t>
            </w:r>
          </w:p>
        </w:tc>
        <w:tc>
          <w:tcPr>
            <w:tcW w:w="929" w:type="pct"/>
            <w:tcBorders>
              <w:top w:val="nil"/>
              <w:left w:val="nil"/>
              <w:bottom w:val="single" w:sz="8" w:space="0" w:color="auto"/>
              <w:right w:val="single" w:sz="8" w:space="0" w:color="auto"/>
            </w:tcBorders>
            <w:noWrap/>
            <w:vAlign w:val="center"/>
          </w:tcPr>
          <w:p w:rsidR="008768CC" w:rsidRDefault="008768CC" w:rsidP="0029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sz w:val="22"/>
                <w:szCs w:val="24"/>
              </w:rPr>
            </w:pPr>
            <w:r>
              <w:rPr>
                <w:rFonts w:asciiTheme="minorEastAsia" w:eastAsiaTheme="minorEastAsia" w:hAnsiTheme="minorEastAsia" w:hint="eastAsia"/>
                <w:sz w:val="22"/>
                <w:szCs w:val="24"/>
              </w:rPr>
              <w:t>0.002%</w:t>
            </w:r>
          </w:p>
        </w:tc>
      </w:tr>
    </w:tbl>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p>
    <w:p w:rsidR="008768CC" w:rsidRDefault="008768CC" w:rsidP="008768CC">
      <w:pPr>
        <w:spacing w:line="48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按行业投向的不良贷款结构                       </w:t>
      </w:r>
    </w:p>
    <w:p w:rsidR="008768CC" w:rsidRDefault="008768CC" w:rsidP="008768CC">
      <w:pPr>
        <w:pStyle w:val="aff6"/>
        <w:ind w:firstLineChars="3200" w:firstLine="7680"/>
        <w:rPr>
          <w:rFonts w:asciiTheme="minorEastAsia" w:eastAsiaTheme="minorEastAsia" w:hAnsiTheme="minorEastAsia"/>
          <w:sz w:val="24"/>
          <w:szCs w:val="24"/>
        </w:rPr>
      </w:pPr>
      <w:r>
        <w:rPr>
          <w:rFonts w:asciiTheme="minorEastAsia" w:eastAsiaTheme="minorEastAsia" w:hAnsiTheme="minorEastAsia" w:hint="eastAsia"/>
          <w:sz w:val="24"/>
          <w:szCs w:val="24"/>
        </w:rPr>
        <w:t>单位：万元</w:t>
      </w:r>
    </w:p>
    <w:tbl>
      <w:tblPr>
        <w:tblW w:w="4999" w:type="pct"/>
        <w:tblCellMar>
          <w:left w:w="0" w:type="dxa"/>
          <w:right w:w="0" w:type="dxa"/>
        </w:tblCellMar>
        <w:tblLook w:val="04A0" w:firstRow="1" w:lastRow="0" w:firstColumn="1" w:lastColumn="0" w:noHBand="0" w:noVBand="1"/>
      </w:tblPr>
      <w:tblGrid>
        <w:gridCol w:w="3962"/>
        <w:gridCol w:w="1767"/>
        <w:gridCol w:w="1600"/>
        <w:gridCol w:w="1600"/>
      </w:tblGrid>
      <w:tr w:rsidR="008768CC" w:rsidTr="00293A0E">
        <w:trPr>
          <w:trHeight w:val="486"/>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行业投向</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贷款余额</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Chars="0" w:firstLine="0"/>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不良贷款余额</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不良占比</w:t>
            </w:r>
          </w:p>
        </w:tc>
      </w:tr>
      <w:tr w:rsidR="008768CC" w:rsidTr="00293A0E">
        <w:trPr>
          <w:trHeight w:val="9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农、林、牧、渔业</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56583.23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157.17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0.28% </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采矿业</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196.98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2.00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1.02%</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制造业</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96105.23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805.48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0.84%</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Chars="0" w:firstLine="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电力、热力、燃气及水生产和供应业</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13207.63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452.61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3.43%</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建筑业</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69356.79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433.61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0.63%</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批发和零售业</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278142.91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2479.73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0.89%</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交通运输、仓储和邮政业</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12373.75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514.07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4.15%</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住宿和餐饮业</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52563.76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619.16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1.18%</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Chars="0" w:firstLine="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信息传输、软件和信息技术服务业</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2409.75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14.96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0.62%</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房地产业</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18554.35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664.22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3.58%</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租赁和商务服务业</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11973.88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109.56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0.91%</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科学研究和技术服务业</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392.00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0.00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0.00%</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水利、环境和公共设施管理业</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618.00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30.00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4.85%</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居民服务、修理和其他服务业</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14460.27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134.99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0.93% </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教育</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3972.88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30.00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0.76% </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卫生和社会工作</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5763.69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0.00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0.00% </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文化、体育和娱乐业</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9197.34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15.00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0.16% </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left"/>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公共管理、社会保障和社会组织</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0.00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0.00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0.00% </w:t>
            </w:r>
          </w:p>
        </w:tc>
      </w:tr>
      <w:tr w:rsidR="008768CC" w:rsidTr="00293A0E">
        <w:trPr>
          <w:trHeight w:val="270"/>
        </w:trPr>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合计</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645872.45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textAlignment w:val="bottom"/>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6462.57 </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20"/>
              <w:jc w:val="center"/>
              <w:rPr>
                <w:rFonts w:asciiTheme="minorEastAsia" w:eastAsiaTheme="minorEastAsia" w:hAnsiTheme="minorEastAsia"/>
                <w:sz w:val="21"/>
                <w:szCs w:val="24"/>
              </w:rPr>
            </w:pPr>
          </w:p>
        </w:tc>
      </w:tr>
    </w:tbl>
    <w:p w:rsidR="008768CC" w:rsidRDefault="008768CC" w:rsidP="008768CC">
      <w:pPr>
        <w:pStyle w:val="aff6"/>
        <w:ind w:firstLine="240"/>
        <w:rPr>
          <w:rFonts w:asciiTheme="minorEastAsia" w:eastAsiaTheme="minorEastAsia" w:hAnsiTheme="minorEastAsia"/>
          <w:sz w:val="24"/>
          <w:szCs w:val="24"/>
        </w:rPr>
      </w:pPr>
    </w:p>
    <w:p w:rsidR="008768CC" w:rsidRDefault="008768CC" w:rsidP="008768CC">
      <w:pPr>
        <w:pStyle w:val="aff6"/>
        <w:ind w:firstLineChars="250" w:firstLine="600"/>
        <w:rPr>
          <w:rFonts w:asciiTheme="minorEastAsia" w:eastAsiaTheme="minorEastAsia" w:hAnsiTheme="minorEastAsia"/>
          <w:sz w:val="24"/>
          <w:szCs w:val="24"/>
        </w:rPr>
      </w:pPr>
      <w:r>
        <w:rPr>
          <w:rFonts w:asciiTheme="minorEastAsia" w:eastAsiaTheme="minorEastAsia" w:hAnsiTheme="minorEastAsia"/>
          <w:sz w:val="24"/>
          <w:szCs w:val="24"/>
        </w:rPr>
        <w:lastRenderedPageBreak/>
        <w:t>按逾期贷款期限划分的逾期贷款结构</w:t>
      </w:r>
      <w:r>
        <w:rPr>
          <w:rFonts w:asciiTheme="minorEastAsia" w:eastAsiaTheme="minorEastAsia" w:hAnsiTheme="minorEastAsia" w:hint="eastAsia"/>
          <w:sz w:val="24"/>
          <w:szCs w:val="24"/>
        </w:rPr>
        <w:t xml:space="preserve">               单位：万元</w:t>
      </w:r>
    </w:p>
    <w:tbl>
      <w:tblPr>
        <w:tblW w:w="4998" w:type="pct"/>
        <w:tblCellMar>
          <w:left w:w="0" w:type="dxa"/>
          <w:right w:w="0" w:type="dxa"/>
        </w:tblCellMar>
        <w:tblLook w:val="04A0" w:firstRow="1" w:lastRow="0" w:firstColumn="1" w:lastColumn="0" w:noHBand="0" w:noVBand="1"/>
      </w:tblPr>
      <w:tblGrid>
        <w:gridCol w:w="4077"/>
        <w:gridCol w:w="1970"/>
        <w:gridCol w:w="2880"/>
      </w:tblGrid>
      <w:tr w:rsidR="008768CC" w:rsidTr="00293A0E">
        <w:trPr>
          <w:trHeight w:val="270"/>
        </w:trPr>
        <w:tc>
          <w:tcPr>
            <w:tcW w:w="2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center"/>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逾期贷款期限</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center"/>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贷款余额</w:t>
            </w:r>
          </w:p>
        </w:tc>
        <w:tc>
          <w:tcPr>
            <w:tcW w:w="1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center"/>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占贷款总额百分比（%）</w:t>
            </w:r>
          </w:p>
        </w:tc>
      </w:tr>
      <w:tr w:rsidR="008768CC" w:rsidTr="00293A0E">
        <w:trPr>
          <w:trHeight w:val="270"/>
        </w:trPr>
        <w:tc>
          <w:tcPr>
            <w:tcW w:w="2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left"/>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逾期90天以下（含90天）</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center"/>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23452.63 </w:t>
            </w:r>
          </w:p>
        </w:tc>
        <w:tc>
          <w:tcPr>
            <w:tcW w:w="1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center"/>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1.71 </w:t>
            </w:r>
          </w:p>
        </w:tc>
      </w:tr>
      <w:tr w:rsidR="008768CC" w:rsidTr="00293A0E">
        <w:trPr>
          <w:trHeight w:val="270"/>
        </w:trPr>
        <w:tc>
          <w:tcPr>
            <w:tcW w:w="2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left"/>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逾期91天到180天（含180天）</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center"/>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3900.92 </w:t>
            </w:r>
          </w:p>
        </w:tc>
        <w:tc>
          <w:tcPr>
            <w:tcW w:w="1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center"/>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0.28 </w:t>
            </w:r>
          </w:p>
        </w:tc>
      </w:tr>
      <w:tr w:rsidR="008768CC" w:rsidTr="00293A0E">
        <w:trPr>
          <w:trHeight w:val="270"/>
        </w:trPr>
        <w:tc>
          <w:tcPr>
            <w:tcW w:w="2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left"/>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逾期181天到270天（含270天）</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center"/>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3285.14 </w:t>
            </w:r>
          </w:p>
        </w:tc>
        <w:tc>
          <w:tcPr>
            <w:tcW w:w="1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center"/>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0.24 </w:t>
            </w:r>
          </w:p>
        </w:tc>
      </w:tr>
      <w:tr w:rsidR="008768CC" w:rsidTr="00293A0E">
        <w:trPr>
          <w:trHeight w:val="270"/>
        </w:trPr>
        <w:tc>
          <w:tcPr>
            <w:tcW w:w="2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left"/>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逾期271天到360天（含360天）</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center"/>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1646.14 </w:t>
            </w:r>
          </w:p>
        </w:tc>
        <w:tc>
          <w:tcPr>
            <w:tcW w:w="1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center"/>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0.12 </w:t>
            </w:r>
          </w:p>
        </w:tc>
      </w:tr>
      <w:tr w:rsidR="008768CC" w:rsidTr="00293A0E">
        <w:trPr>
          <w:trHeight w:val="270"/>
        </w:trPr>
        <w:tc>
          <w:tcPr>
            <w:tcW w:w="2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left"/>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逾期361天以上贷款</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center"/>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2161.62 </w:t>
            </w:r>
          </w:p>
        </w:tc>
        <w:tc>
          <w:tcPr>
            <w:tcW w:w="1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center"/>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0.16 </w:t>
            </w:r>
          </w:p>
        </w:tc>
      </w:tr>
      <w:tr w:rsidR="008768CC" w:rsidTr="00293A0E">
        <w:trPr>
          <w:trHeight w:val="496"/>
        </w:trPr>
        <w:tc>
          <w:tcPr>
            <w:tcW w:w="2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left"/>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合计</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center"/>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34446.45 </w:t>
            </w:r>
          </w:p>
        </w:tc>
        <w:tc>
          <w:tcPr>
            <w:tcW w:w="1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768CC" w:rsidRDefault="008768CC" w:rsidP="00293A0E">
            <w:pPr>
              <w:ind w:firstLine="440"/>
              <w:jc w:val="center"/>
              <w:textAlignment w:val="bottom"/>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2.51 </w:t>
            </w:r>
          </w:p>
        </w:tc>
      </w:tr>
    </w:tbl>
    <w:p w:rsidR="008768CC" w:rsidRDefault="008768CC" w:rsidP="008768CC">
      <w:pPr>
        <w:spacing w:line="48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4.</w:t>
      </w:r>
      <w:r>
        <w:rPr>
          <w:rFonts w:asciiTheme="minorEastAsia" w:eastAsiaTheme="minorEastAsia" w:hAnsiTheme="minorEastAsia" w:hint="eastAsia"/>
          <w:b/>
          <w:sz w:val="24"/>
          <w:szCs w:val="24"/>
        </w:rPr>
        <w:t>流动性风险状况</w:t>
      </w:r>
    </w:p>
    <w:p w:rsidR="008768CC" w:rsidRDefault="008768CC" w:rsidP="008768CC">
      <w:pPr>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流动性风险是指银行无法及时获得充足资金或无法以合理成本及时获得充足资金，用于偿付到期债务、履行其他支付义务和满足正常业务开展的其他资金需求的风险。2023年本行确定影响流动性的因素主要是信用风险对流动性风险的冲击和声誉风险对流动性风险的影响。为此，本行加强流动性风险管理，落实制度保障，开展部门分工协作，建立有效的流动性风险管理治理架构；制订流动性应急预案，防范和处置流动性风险；定期开展压力测试，及时了解流动性压力承受能力。这些策略及措施有助于本行在面对市场波动时保持充足的流动性，同时也为本行业务发展提供了有力支持。截至</w:t>
      </w:r>
      <w:r>
        <w:rPr>
          <w:rFonts w:asciiTheme="minorEastAsia" w:eastAsiaTheme="minorEastAsia" w:hAnsiTheme="minorEastAsia"/>
          <w:sz w:val="24"/>
          <w:szCs w:val="24"/>
        </w:rPr>
        <w:t>202</w:t>
      </w:r>
      <w:r>
        <w:rPr>
          <w:rFonts w:asciiTheme="minorEastAsia" w:eastAsiaTheme="minorEastAsia" w:hAnsiTheme="minorEastAsia" w:hint="eastAsia"/>
          <w:sz w:val="24"/>
          <w:szCs w:val="24"/>
        </w:rPr>
        <w:t>3年末，本行流动性比例</w:t>
      </w:r>
      <w:r>
        <w:rPr>
          <w:rFonts w:asciiTheme="minorEastAsia" w:eastAsiaTheme="minorEastAsia" w:hAnsiTheme="minorEastAsia"/>
          <w:sz w:val="24"/>
          <w:szCs w:val="24"/>
        </w:rPr>
        <w:t>74.19%，比监管要求的25%超出49.19个百分点；流动性缺口率11.8%，比监管要求的-10%超出21.8个百分点；核心负债比例74.79%，比监管要求的60%超出14.79个百分点；优质流动性资产充足率728.35%，比监管要求的100%超出628.35个百分点；超额备付率6.78%，比监管要求的1.5%超出5.28个百分点</w:t>
      </w:r>
      <w:r>
        <w:rPr>
          <w:rFonts w:asciiTheme="minorEastAsia" w:eastAsiaTheme="minorEastAsia" w:hAnsiTheme="minorEastAsia" w:hint="eastAsia"/>
          <w:sz w:val="24"/>
          <w:szCs w:val="24"/>
        </w:rPr>
        <w:t>，本行可用资金较为宽裕，不存在流动性支付危机。</w:t>
      </w:r>
    </w:p>
    <w:p w:rsidR="008768CC" w:rsidRDefault="008768CC" w:rsidP="008768CC">
      <w:pPr>
        <w:spacing w:line="48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5.</w:t>
      </w:r>
      <w:r>
        <w:rPr>
          <w:rFonts w:asciiTheme="minorEastAsia" w:eastAsiaTheme="minorEastAsia" w:hAnsiTheme="minorEastAsia" w:hint="eastAsia"/>
          <w:b/>
          <w:sz w:val="24"/>
          <w:szCs w:val="24"/>
        </w:rPr>
        <w:t>市场风险状况</w:t>
      </w:r>
    </w:p>
    <w:p w:rsidR="008768CC" w:rsidRDefault="008768CC" w:rsidP="008768CC">
      <w:pPr>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市场风险是指因市场价格（利率、汇率、股票价格和商品价格）的不利变动而使本行表内和表外业务发生损失的风险。本行面临的市场风险主要来源于银行账簿利率风险。本行市场风险管理策略主要包括风险分散、风险对冲、风险转移、风险规避、风险补偿五个方面。具体工作上，报告期内本行按照《商业银行市场风险管理指引》的要求，密切关注宏观经济政策的动态变化和</w:t>
      </w:r>
      <w:proofErr w:type="gramStart"/>
      <w:r>
        <w:rPr>
          <w:rFonts w:asciiTheme="minorEastAsia" w:eastAsiaTheme="minorEastAsia" w:hAnsiTheme="minorEastAsia" w:hint="eastAsia"/>
          <w:sz w:val="24"/>
          <w:szCs w:val="24"/>
        </w:rPr>
        <w:t>研判</w:t>
      </w:r>
      <w:proofErr w:type="gramEnd"/>
      <w:r>
        <w:rPr>
          <w:rFonts w:asciiTheme="minorEastAsia" w:eastAsiaTheme="minorEastAsia" w:hAnsiTheme="minorEastAsia" w:hint="eastAsia"/>
          <w:sz w:val="24"/>
          <w:szCs w:val="24"/>
        </w:rPr>
        <w:t>市场的利率走势，及时在资产和负债方面进</w:t>
      </w:r>
      <w:r>
        <w:rPr>
          <w:rFonts w:asciiTheme="minorEastAsia" w:eastAsiaTheme="minorEastAsia" w:hAnsiTheme="minorEastAsia" w:hint="eastAsia"/>
          <w:sz w:val="24"/>
          <w:szCs w:val="24"/>
        </w:rPr>
        <w:lastRenderedPageBreak/>
        <w:t>行调整，采取多项有效的措施：一是资产配置以稳健经营为主，兼顾流动性和效益性；二是积极开展融资业务，增强流动性管理能力；三是定期召开工作会议，对当期的政策与经济热点讨论分析，提高市场风险分析应对的能力；四是对市场风险实施限额管理，实现业务风险限额“数量化管理”，将市场风险控制作为一个动态过程融入同业业务的全过程。截至</w:t>
      </w:r>
      <w:r>
        <w:rPr>
          <w:rFonts w:asciiTheme="minorEastAsia" w:eastAsiaTheme="minorEastAsia" w:hAnsiTheme="minorEastAsia"/>
          <w:sz w:val="24"/>
          <w:szCs w:val="24"/>
        </w:rPr>
        <w:t>2023年末，本行银行账簿最大经济价值变动比例为20.09%</w:t>
      </w:r>
      <w:r>
        <w:rPr>
          <w:rFonts w:asciiTheme="minorEastAsia" w:eastAsiaTheme="minorEastAsia" w:hAnsiTheme="minorEastAsia" w:hint="eastAsia"/>
          <w:sz w:val="24"/>
          <w:szCs w:val="24"/>
        </w:rPr>
        <w:t>、净利息收入变动比例为17.83%。从账簿利率风险限额来看，本行中长期利率敏感性存在较大缺口，今后在相关资产负债期限配置时，需持续优化，不断降低银行账簿最大经济价值变动比例。</w:t>
      </w:r>
    </w:p>
    <w:p w:rsidR="008768CC" w:rsidRDefault="008768CC" w:rsidP="008768CC">
      <w:pPr>
        <w:spacing w:line="48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6.操作风险状况</w:t>
      </w:r>
    </w:p>
    <w:p w:rsidR="008768CC" w:rsidRDefault="008768CC" w:rsidP="008768CC">
      <w:pPr>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操作风险是指由员工操作不当或不完善、有问题的内部程序、系统或外部事件（如自然灾害）所造成的风险，包括法律风险，但不包括策略风险和声誉风险。2023年, 本行发生一起涉嫌员工职务侵占的案件，本行通过健全内控制度体系，加强内控管理，规范业务操作，提高</w:t>
      </w:r>
      <w:proofErr w:type="gramStart"/>
      <w:r>
        <w:rPr>
          <w:rFonts w:asciiTheme="minorEastAsia" w:eastAsiaTheme="minorEastAsia" w:hAnsiTheme="minorEastAsia" w:hint="eastAsia"/>
          <w:sz w:val="24"/>
          <w:szCs w:val="24"/>
        </w:rPr>
        <w:t>风险风险</w:t>
      </w:r>
      <w:proofErr w:type="gramEnd"/>
      <w:r>
        <w:rPr>
          <w:rFonts w:asciiTheme="minorEastAsia" w:eastAsiaTheme="minorEastAsia" w:hAnsiTheme="minorEastAsia" w:hint="eastAsia"/>
          <w:sz w:val="24"/>
          <w:szCs w:val="24"/>
        </w:rPr>
        <w:t>识别和防范能力 。本行根据国家法律法规和金融监管要求及时制订或修订完善内部制度，各项制度</w:t>
      </w:r>
      <w:proofErr w:type="gramStart"/>
      <w:r>
        <w:rPr>
          <w:rFonts w:asciiTheme="minorEastAsia" w:eastAsiaTheme="minorEastAsia" w:hAnsiTheme="minorEastAsia" w:hint="eastAsia"/>
          <w:sz w:val="24"/>
          <w:szCs w:val="24"/>
        </w:rPr>
        <w:t>函盖</w:t>
      </w:r>
      <w:proofErr w:type="gramEnd"/>
      <w:r>
        <w:rPr>
          <w:rFonts w:asciiTheme="minorEastAsia" w:eastAsiaTheme="minorEastAsia" w:hAnsiTheme="minorEastAsia" w:hint="eastAsia"/>
          <w:sz w:val="24"/>
          <w:szCs w:val="24"/>
        </w:rPr>
        <w:t>业务操作和管理各环节，与本行管理模式、业务规模、产品复杂程度、风险状况等相适应，内部控制制度总体完备、合理、有效。</w:t>
      </w:r>
    </w:p>
    <w:p w:rsidR="008768CC" w:rsidRDefault="008768CC" w:rsidP="008768CC">
      <w:pPr>
        <w:spacing w:line="480" w:lineRule="exact"/>
        <w:ind w:firstLineChars="0" w:firstLine="0"/>
        <w:rPr>
          <w:rFonts w:asciiTheme="minorEastAsia" w:eastAsiaTheme="minorEastAsia" w:hAnsiTheme="minorEastAsia"/>
          <w:b/>
          <w:bCs/>
          <w:sz w:val="24"/>
          <w:szCs w:val="24"/>
        </w:rPr>
      </w:pPr>
      <w:r>
        <w:rPr>
          <w:rFonts w:asciiTheme="minorEastAsia" w:eastAsiaTheme="minorEastAsia" w:hAnsiTheme="minorEastAsia"/>
          <w:b/>
          <w:bCs/>
          <w:sz w:val="24"/>
          <w:szCs w:val="24"/>
        </w:rPr>
        <w:t>7.声誉风险状况</w:t>
      </w:r>
    </w:p>
    <w:p w:rsidR="008768CC" w:rsidRDefault="008768CC" w:rsidP="008768CC">
      <w:pPr>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声誉风险是指本行经营、管理及其他行为或外部事件导致利益相关方对本行负面评价的风险。本行坚持党的领导与声誉风险管理相结合，充分发挥党组织把方向、管大局、</w:t>
      </w:r>
      <w:proofErr w:type="gramStart"/>
      <w:r>
        <w:rPr>
          <w:rFonts w:asciiTheme="minorEastAsia" w:eastAsiaTheme="minorEastAsia" w:hAnsiTheme="minorEastAsia" w:hint="eastAsia"/>
          <w:sz w:val="24"/>
          <w:szCs w:val="24"/>
        </w:rPr>
        <w:t>保落实</w:t>
      </w:r>
      <w:proofErr w:type="gramEnd"/>
      <w:r>
        <w:rPr>
          <w:rFonts w:asciiTheme="minorEastAsia" w:eastAsiaTheme="minorEastAsia" w:hAnsiTheme="minorEastAsia" w:hint="eastAsia"/>
          <w:sz w:val="24"/>
          <w:szCs w:val="24"/>
        </w:rPr>
        <w:t>的领导作用；持续强化声誉风险管理，成立了声誉风险管理领导小组，制定了《广东信宜农村商业银行股份有限公司声誉突发事件应急处置预案（2022年版）》《广东信宜农村商业银行股份有限公司声誉风险管理办法（2022年版）》，声誉风险管理流程体系不断完善；落实舆情监测，密切关注舆情动态；与当地媒体保持良好沟通，正确引导舆论导向；不断提高服务水平，及时处置风险事件，避免不必要的投诉和防范声誉风险；不定期开展风险隐患排查，及时查究整改发现问题和隐患，严防声誉风险事件；组织开展舆情应急演练工作和教育，提升舆情应对技能。</w:t>
      </w:r>
    </w:p>
    <w:p w:rsidR="008768CC" w:rsidRDefault="008768CC" w:rsidP="008768CC">
      <w:pPr>
        <w:spacing w:line="480" w:lineRule="exact"/>
        <w:ind w:firstLineChars="0" w:firstLine="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8</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洗钱</w:t>
      </w:r>
      <w:r>
        <w:rPr>
          <w:rFonts w:asciiTheme="minorEastAsia" w:eastAsiaTheme="minorEastAsia" w:hAnsiTheme="minorEastAsia"/>
          <w:b/>
          <w:bCs/>
          <w:sz w:val="24"/>
          <w:szCs w:val="24"/>
        </w:rPr>
        <w:t>风险状况</w:t>
      </w:r>
    </w:p>
    <w:p w:rsidR="008768CC" w:rsidRDefault="008768CC" w:rsidP="008768CC">
      <w:pPr>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洗钱风险是指违法犯罪分子通过本行掩饰、隐瞒毒品犯罪、黑社会性质的组织犯罪、恐怖活动犯罪、走私犯罪、贪污贿赂犯罪、破坏金融管理秩序犯罪、金融诈骗犯罪等</w:t>
      </w:r>
      <w:r>
        <w:rPr>
          <w:rFonts w:asciiTheme="minorEastAsia" w:eastAsiaTheme="minorEastAsia" w:hAnsiTheme="minorEastAsia" w:hint="eastAsia"/>
          <w:sz w:val="24"/>
          <w:szCs w:val="24"/>
        </w:rPr>
        <w:lastRenderedPageBreak/>
        <w:t>犯罪所得及其收益的来源和性质的洗钱活动给本行带来的金融风险。包括法律风险、操作风险、道德风险和声誉风险等。本行作为反洗钱的义务主体，按照国家反洗</w:t>
      </w:r>
      <w:proofErr w:type="gramStart"/>
      <w:r>
        <w:rPr>
          <w:rFonts w:asciiTheme="minorEastAsia" w:eastAsiaTheme="minorEastAsia" w:hAnsiTheme="minorEastAsia" w:hint="eastAsia"/>
          <w:sz w:val="24"/>
          <w:szCs w:val="24"/>
        </w:rPr>
        <w:t>钱法规</w:t>
      </w:r>
      <w:proofErr w:type="gramEnd"/>
      <w:r>
        <w:rPr>
          <w:rFonts w:asciiTheme="minorEastAsia" w:eastAsiaTheme="minorEastAsia" w:hAnsiTheme="minorEastAsia" w:hint="eastAsia"/>
          <w:sz w:val="24"/>
          <w:szCs w:val="24"/>
        </w:rPr>
        <w:t>及政策，认真履行反洗</w:t>
      </w:r>
      <w:proofErr w:type="gramStart"/>
      <w:r>
        <w:rPr>
          <w:rFonts w:asciiTheme="minorEastAsia" w:eastAsiaTheme="minorEastAsia" w:hAnsiTheme="minorEastAsia" w:hint="eastAsia"/>
          <w:sz w:val="24"/>
          <w:szCs w:val="24"/>
        </w:rPr>
        <w:t>钱各项</w:t>
      </w:r>
      <w:proofErr w:type="gramEnd"/>
      <w:r>
        <w:rPr>
          <w:rFonts w:asciiTheme="minorEastAsia" w:eastAsiaTheme="minorEastAsia" w:hAnsiTheme="minorEastAsia" w:hint="eastAsia"/>
          <w:sz w:val="24"/>
          <w:szCs w:val="24"/>
        </w:rPr>
        <w:t>工作，将洗钱风险纳入全面风险管理体系，确保将洗钱风险控制在规定的范围之内。一是成立反洗</w:t>
      </w:r>
      <w:proofErr w:type="gramStart"/>
      <w:r>
        <w:rPr>
          <w:rFonts w:asciiTheme="minorEastAsia" w:eastAsiaTheme="minorEastAsia" w:hAnsiTheme="minorEastAsia" w:hint="eastAsia"/>
          <w:sz w:val="24"/>
          <w:szCs w:val="24"/>
        </w:rPr>
        <w:t>钱工作</w:t>
      </w:r>
      <w:proofErr w:type="gramEnd"/>
      <w:r>
        <w:rPr>
          <w:rFonts w:asciiTheme="minorEastAsia" w:eastAsiaTheme="minorEastAsia" w:hAnsiTheme="minorEastAsia" w:hint="eastAsia"/>
          <w:sz w:val="24"/>
          <w:szCs w:val="24"/>
        </w:rPr>
        <w:t>领导小组，领导小组下设反洗钱中心，负责本行的反洗钱工作。二是及时制订包括客户身份识别、大额交易和可疑交易报告、客户身份资料和交易记录保存、黑名单监控等反洗钱风险内控制度，逐步实现反洗钱风险控制与业务风险控制的有效融合。三是构建与业务性质、规模和复杂程度相适应的、完善的、可靠的反洗钱风险控制体系，以实现对洗钱风险的识别、计量、监测和控制，促进本行安全、稳健运行。四是定期为员工提供反洗钱培训，加强员工对反洗钱有关规定的掌握，提高员工的反洗</w:t>
      </w:r>
      <w:proofErr w:type="gramStart"/>
      <w:r>
        <w:rPr>
          <w:rFonts w:asciiTheme="minorEastAsia" w:eastAsiaTheme="minorEastAsia" w:hAnsiTheme="minorEastAsia" w:hint="eastAsia"/>
          <w:sz w:val="24"/>
          <w:szCs w:val="24"/>
        </w:rPr>
        <w:t>钱意识</w:t>
      </w:r>
      <w:proofErr w:type="gramEnd"/>
      <w:r>
        <w:rPr>
          <w:rFonts w:asciiTheme="minorEastAsia" w:eastAsiaTheme="minorEastAsia" w:hAnsiTheme="minorEastAsia" w:hint="eastAsia"/>
          <w:sz w:val="24"/>
          <w:szCs w:val="24"/>
        </w:rPr>
        <w:t>和技能，有效防范洗钱风险的发生。五是切实做好反洗钱宣传工作。</w:t>
      </w:r>
      <w:r>
        <w:rPr>
          <w:rFonts w:asciiTheme="minorEastAsia" w:eastAsiaTheme="minorEastAsia" w:hAnsiTheme="minorEastAsia"/>
          <w:sz w:val="24"/>
          <w:szCs w:val="24"/>
        </w:rPr>
        <w:t>20</w:t>
      </w:r>
      <w:r>
        <w:rPr>
          <w:rFonts w:asciiTheme="minorEastAsia" w:eastAsiaTheme="minorEastAsia" w:hAnsiTheme="minorEastAsia" w:hint="eastAsia"/>
          <w:sz w:val="24"/>
          <w:szCs w:val="24"/>
        </w:rPr>
        <w:t>23</w:t>
      </w:r>
      <w:r>
        <w:rPr>
          <w:rFonts w:asciiTheme="minorEastAsia" w:eastAsiaTheme="minorEastAsia" w:hAnsiTheme="minorEastAsia"/>
          <w:sz w:val="24"/>
          <w:szCs w:val="24"/>
        </w:rPr>
        <w:t>年度，本行没有出现洗钱或恐怖融资案件，也没有发生反洗</w:t>
      </w:r>
      <w:proofErr w:type="gramStart"/>
      <w:r>
        <w:rPr>
          <w:rFonts w:asciiTheme="minorEastAsia" w:eastAsiaTheme="minorEastAsia" w:hAnsiTheme="minorEastAsia"/>
          <w:sz w:val="24"/>
          <w:szCs w:val="24"/>
        </w:rPr>
        <w:t>钱信息</w:t>
      </w:r>
      <w:proofErr w:type="gramEnd"/>
      <w:r>
        <w:rPr>
          <w:rFonts w:asciiTheme="minorEastAsia" w:eastAsiaTheme="minorEastAsia" w:hAnsiTheme="minorEastAsia"/>
          <w:sz w:val="24"/>
          <w:szCs w:val="24"/>
        </w:rPr>
        <w:t>泄密情况或内部人员涉嫌洗钱案件等重大违规事</w:t>
      </w:r>
      <w:r>
        <w:rPr>
          <w:rFonts w:asciiTheme="minorEastAsia" w:eastAsiaTheme="minorEastAsia" w:hAnsiTheme="minorEastAsia" w:hint="eastAsia"/>
          <w:sz w:val="24"/>
          <w:szCs w:val="24"/>
        </w:rPr>
        <w:t>件，洗钱风险防控达成了一定的成果。</w:t>
      </w:r>
    </w:p>
    <w:p w:rsidR="008768CC" w:rsidRDefault="008768CC" w:rsidP="008768CC">
      <w:pPr>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对上述各类风险均进行了审计，形成了《关于信宜农商银行2022年度全面风险管理专项审计情况的报告》，并于2023年8月28日经第二届董事会审计委员会第三次会议审议通过，2023年8月28日经第二届董事会第六次会议审议通过。</w:t>
      </w:r>
    </w:p>
    <w:p w:rsidR="008768CC" w:rsidRDefault="008768CC" w:rsidP="008768CC">
      <w:pPr>
        <w:spacing w:line="48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bCs/>
          <w:sz w:val="24"/>
          <w:szCs w:val="24"/>
        </w:rPr>
        <w:t>8.5内控管理</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sz w:val="24"/>
          <w:szCs w:val="24"/>
        </w:rPr>
        <w:t>20</w:t>
      </w:r>
      <w:r>
        <w:rPr>
          <w:rFonts w:asciiTheme="minorEastAsia" w:eastAsiaTheme="minorEastAsia" w:hAnsiTheme="minorEastAsia" w:hint="eastAsia"/>
          <w:sz w:val="24"/>
          <w:szCs w:val="24"/>
        </w:rPr>
        <w:t>23年，本行以强化</w:t>
      </w:r>
      <w:proofErr w:type="gramStart"/>
      <w:r>
        <w:rPr>
          <w:rFonts w:asciiTheme="minorEastAsia" w:eastAsiaTheme="minorEastAsia" w:hAnsiTheme="minorEastAsia" w:hint="eastAsia"/>
          <w:sz w:val="24"/>
          <w:szCs w:val="24"/>
        </w:rPr>
        <w:t>内控案防</w:t>
      </w:r>
      <w:proofErr w:type="gramEnd"/>
      <w:r>
        <w:rPr>
          <w:rFonts w:asciiTheme="minorEastAsia" w:eastAsiaTheme="minorEastAsia" w:hAnsiTheme="minorEastAsia" w:hint="eastAsia"/>
          <w:sz w:val="24"/>
          <w:szCs w:val="24"/>
        </w:rPr>
        <w:t>管控实效为目标，深化落实从严治行，筑牢风险防线，前、中、后三道防线齐发力，助力本行转型发展工作扎实推进。一是建制明责，夯实内控管理。建立本行消费者权益保护工作机制，厘清责任，</w:t>
      </w:r>
      <w:proofErr w:type="gramStart"/>
      <w:r>
        <w:rPr>
          <w:rFonts w:asciiTheme="minorEastAsia" w:eastAsiaTheme="minorEastAsia" w:hAnsiTheme="minorEastAsia" w:hint="eastAsia"/>
          <w:sz w:val="24"/>
          <w:szCs w:val="24"/>
        </w:rPr>
        <w:t>保障消保工作</w:t>
      </w:r>
      <w:proofErr w:type="gramEnd"/>
      <w:r>
        <w:rPr>
          <w:rFonts w:asciiTheme="minorEastAsia" w:eastAsiaTheme="minorEastAsia" w:hAnsiTheme="minorEastAsia" w:hint="eastAsia"/>
          <w:sz w:val="24"/>
          <w:szCs w:val="24"/>
        </w:rPr>
        <w:t>落实；建立风险管理工作机制，明晰各条线、各层级风险管理职责，扎实开展风险管理各项工作。二是多</w:t>
      </w:r>
      <w:proofErr w:type="gramStart"/>
      <w:r>
        <w:rPr>
          <w:rFonts w:asciiTheme="minorEastAsia" w:eastAsiaTheme="minorEastAsia" w:hAnsiTheme="minorEastAsia" w:hint="eastAsia"/>
          <w:sz w:val="24"/>
          <w:szCs w:val="24"/>
        </w:rPr>
        <w:t>措</w:t>
      </w:r>
      <w:proofErr w:type="gramEnd"/>
      <w:r>
        <w:rPr>
          <w:rFonts w:asciiTheme="minorEastAsia" w:eastAsiaTheme="minorEastAsia" w:hAnsiTheme="minorEastAsia" w:hint="eastAsia"/>
          <w:sz w:val="24"/>
          <w:szCs w:val="24"/>
        </w:rPr>
        <w:t>并举，强化风险管控，包括合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审核把关，</w:t>
      </w:r>
      <w:proofErr w:type="gramStart"/>
      <w:r>
        <w:rPr>
          <w:rFonts w:asciiTheme="minorEastAsia" w:eastAsiaTheme="minorEastAsia" w:hAnsiTheme="minorEastAsia" w:hint="eastAsia"/>
          <w:sz w:val="24"/>
          <w:szCs w:val="24"/>
        </w:rPr>
        <w:t>落实风控前移</w:t>
      </w:r>
      <w:proofErr w:type="gramEnd"/>
      <w:r>
        <w:rPr>
          <w:rFonts w:asciiTheme="minorEastAsia" w:eastAsiaTheme="minorEastAsia" w:hAnsiTheme="minorEastAsia" w:hint="eastAsia"/>
          <w:sz w:val="24"/>
          <w:szCs w:val="24"/>
        </w:rPr>
        <w:t>；开展风险排查，排堵风险隐患；持续开展员工异常行为排查，严肃查处违规违纪行为等。三是压实三线联动责任，积极发挥审计的“利剑、眼睛、参谋”作用，依托省联社审计信息系统，利用大数据开展非现场审计，</w:t>
      </w:r>
      <w:proofErr w:type="gramStart"/>
      <w:r>
        <w:rPr>
          <w:rFonts w:asciiTheme="minorEastAsia" w:eastAsiaTheme="minorEastAsia" w:hAnsiTheme="minorEastAsia" w:hint="eastAsia"/>
          <w:sz w:val="24"/>
          <w:szCs w:val="24"/>
        </w:rPr>
        <w:t>做实现场</w:t>
      </w:r>
      <w:proofErr w:type="gramEnd"/>
      <w:r>
        <w:rPr>
          <w:rFonts w:asciiTheme="minorEastAsia" w:eastAsiaTheme="minorEastAsia" w:hAnsiTheme="minorEastAsia" w:hint="eastAsia"/>
          <w:sz w:val="24"/>
          <w:szCs w:val="24"/>
        </w:rPr>
        <w:t>审计工作，实现“全面覆盖、突出重点、精准核查”的审计要求，对风险进行及时监测和精确预警。四是提升意识，强化教育与宣传，包括对内开展违规违纪警示教育、反腐倡廉教育、三纪巡回教育、合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巡讲等活动，对外开展消费者权益、反洗钱、防范非法集资、扫黑除恶等宣传活动。</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9.股本变动及股东情况</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9.1股本变动情况</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9.1.1股本结构</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截至报告期末，本行股份总数为611,976,540，股户数5,498户,股本结构情况如下：</w:t>
      </w:r>
    </w:p>
    <w:p w:rsidR="008768CC" w:rsidRDefault="008768CC" w:rsidP="008768CC">
      <w:pPr>
        <w:widowControl w:val="0"/>
        <w:spacing w:after="120" w:line="500" w:lineRule="exact"/>
        <w:ind w:firstLineChars="0" w:firstLine="0"/>
        <w:jc w:val="righ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单位：户、万股、%</w:t>
      </w:r>
    </w:p>
    <w:tbl>
      <w:tblPr>
        <w:tblW w:w="4999" w:type="pct"/>
        <w:jc w:val="center"/>
        <w:tblLook w:val="04A0" w:firstRow="1" w:lastRow="0" w:firstColumn="1" w:lastColumn="0" w:noHBand="0" w:noVBand="1"/>
      </w:tblPr>
      <w:tblGrid>
        <w:gridCol w:w="1128"/>
        <w:gridCol w:w="2147"/>
        <w:gridCol w:w="1418"/>
        <w:gridCol w:w="2127"/>
        <w:gridCol w:w="2295"/>
      </w:tblGrid>
      <w:tr w:rsidR="008768CC" w:rsidTr="00293A0E">
        <w:trPr>
          <w:trHeight w:val="440"/>
          <w:jc w:val="center"/>
        </w:trPr>
        <w:tc>
          <w:tcPr>
            <w:tcW w:w="179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kern w:val="0"/>
                <w:sz w:val="24"/>
                <w:szCs w:val="24"/>
                <w:lang w:bidi="ar"/>
              </w:rPr>
              <w:t>股份性质</w:t>
            </w:r>
          </w:p>
        </w:tc>
        <w:tc>
          <w:tcPr>
            <w:tcW w:w="320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kern w:val="0"/>
                <w:sz w:val="24"/>
                <w:szCs w:val="24"/>
                <w:lang w:bidi="ar"/>
              </w:rPr>
              <w:t>股权机构情况</w:t>
            </w:r>
          </w:p>
        </w:tc>
      </w:tr>
      <w:tr w:rsidR="008768CC" w:rsidTr="00293A0E">
        <w:trPr>
          <w:trHeight w:val="440"/>
          <w:jc w:val="center"/>
        </w:trPr>
        <w:tc>
          <w:tcPr>
            <w:tcW w:w="1795"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rPr>
                <w:rFonts w:asciiTheme="minorEastAsia" w:eastAsiaTheme="minorEastAsia" w:hAnsiTheme="minorEastAsia" w:cs="宋体"/>
                <w:b/>
                <w:bCs/>
                <w:color w:val="000000"/>
                <w:sz w:val="24"/>
                <w:szCs w:val="24"/>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kern w:val="0"/>
                <w:sz w:val="24"/>
                <w:szCs w:val="24"/>
                <w:lang w:bidi="ar"/>
              </w:rPr>
              <w:t>户数</w:t>
            </w:r>
          </w:p>
        </w:tc>
        <w:tc>
          <w:tcPr>
            <w:tcW w:w="1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kern w:val="0"/>
                <w:sz w:val="24"/>
                <w:szCs w:val="24"/>
                <w:lang w:bidi="ar"/>
              </w:rPr>
              <w:t>持有股份数</w:t>
            </w:r>
          </w:p>
        </w:tc>
        <w:tc>
          <w:tcPr>
            <w:tcW w:w="1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kern w:val="0"/>
                <w:sz w:val="24"/>
                <w:szCs w:val="24"/>
                <w:lang w:bidi="ar"/>
              </w:rPr>
              <w:t>占总股本比例</w:t>
            </w:r>
          </w:p>
        </w:tc>
      </w:tr>
      <w:tr w:rsidR="008768CC" w:rsidTr="00293A0E">
        <w:trPr>
          <w:trHeight w:val="440"/>
          <w:jc w:val="center"/>
        </w:trPr>
        <w:tc>
          <w:tcPr>
            <w:tcW w:w="17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法人</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22</w:t>
            </w:r>
          </w:p>
        </w:tc>
        <w:tc>
          <w:tcPr>
            <w:tcW w:w="1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25664.22</w:t>
            </w:r>
          </w:p>
        </w:tc>
        <w:tc>
          <w:tcPr>
            <w:tcW w:w="1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41.94</w:t>
            </w:r>
          </w:p>
        </w:tc>
      </w:tr>
      <w:tr w:rsidR="008768CC" w:rsidTr="00293A0E">
        <w:trPr>
          <w:trHeight w:val="440"/>
          <w:jc w:val="center"/>
        </w:trPr>
        <w:tc>
          <w:tcPr>
            <w:tcW w:w="6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自然人</w:t>
            </w: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职工自然人</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978</w:t>
            </w:r>
          </w:p>
        </w:tc>
        <w:tc>
          <w:tcPr>
            <w:tcW w:w="1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9162.3746</w:t>
            </w:r>
          </w:p>
        </w:tc>
        <w:tc>
          <w:tcPr>
            <w:tcW w:w="1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14.97</w:t>
            </w:r>
          </w:p>
        </w:tc>
      </w:tr>
      <w:tr w:rsidR="008768CC" w:rsidTr="00293A0E">
        <w:trPr>
          <w:trHeight w:val="440"/>
          <w:jc w:val="center"/>
        </w:trPr>
        <w:tc>
          <w:tcPr>
            <w:tcW w:w="6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rPr>
                <w:rFonts w:asciiTheme="minorEastAsia" w:eastAsiaTheme="minorEastAsia" w:hAnsiTheme="minorEastAsia" w:cs="宋体"/>
                <w:color w:val="000000"/>
                <w:sz w:val="24"/>
                <w:szCs w:val="24"/>
              </w:rPr>
            </w:pP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非职工自然人</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4498</w:t>
            </w:r>
          </w:p>
        </w:tc>
        <w:tc>
          <w:tcPr>
            <w:tcW w:w="1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26371.0594</w:t>
            </w:r>
          </w:p>
        </w:tc>
        <w:tc>
          <w:tcPr>
            <w:tcW w:w="1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43.09</w:t>
            </w:r>
          </w:p>
        </w:tc>
      </w:tr>
      <w:tr w:rsidR="008768CC" w:rsidTr="00293A0E">
        <w:trPr>
          <w:trHeight w:val="440"/>
          <w:jc w:val="center"/>
        </w:trPr>
        <w:tc>
          <w:tcPr>
            <w:tcW w:w="6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rPr>
                <w:rFonts w:asciiTheme="minorEastAsia" w:eastAsiaTheme="minorEastAsia" w:hAnsiTheme="minorEastAsia" w:cs="宋体"/>
                <w:color w:val="000000"/>
                <w:sz w:val="24"/>
                <w:szCs w:val="24"/>
              </w:rPr>
            </w:pP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合计</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5476</w:t>
            </w:r>
          </w:p>
        </w:tc>
        <w:tc>
          <w:tcPr>
            <w:tcW w:w="1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35533.434</w:t>
            </w:r>
          </w:p>
        </w:tc>
        <w:tc>
          <w:tcPr>
            <w:tcW w:w="1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58.06</w:t>
            </w:r>
          </w:p>
        </w:tc>
      </w:tr>
      <w:tr w:rsidR="008768CC" w:rsidTr="00293A0E">
        <w:trPr>
          <w:trHeight w:val="440"/>
          <w:jc w:val="center"/>
        </w:trPr>
        <w:tc>
          <w:tcPr>
            <w:tcW w:w="17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合计</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5498</w:t>
            </w:r>
          </w:p>
        </w:tc>
        <w:tc>
          <w:tcPr>
            <w:tcW w:w="1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61197.654</w:t>
            </w:r>
          </w:p>
        </w:tc>
        <w:tc>
          <w:tcPr>
            <w:tcW w:w="1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100</w:t>
            </w:r>
          </w:p>
        </w:tc>
      </w:tr>
    </w:tbl>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9.1.2股份转让情况</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本行2023年度共发生48笔股份转让交易，涉及股份6,224.04万股。</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9.2股东情况</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9.2.1股东数量变动情况</w:t>
      </w:r>
    </w:p>
    <w:p w:rsidR="008768CC" w:rsidRDefault="008768CC" w:rsidP="008768CC">
      <w:pPr>
        <w:widowControl w:val="0"/>
        <w:spacing w:line="500" w:lineRule="exact"/>
        <w:ind w:firstLineChars="0" w:firstLine="0"/>
        <w:jc w:val="left"/>
        <w:rPr>
          <w:rFonts w:asciiTheme="minorEastAsia" w:eastAsiaTheme="minorEastAsia" w:hAnsiTheme="minorEastAsia"/>
          <w:b/>
          <w:color w:val="0000FF"/>
          <w:sz w:val="24"/>
          <w:szCs w:val="24"/>
        </w:rPr>
      </w:pPr>
      <w:r>
        <w:rPr>
          <w:rFonts w:asciiTheme="minorEastAsia" w:eastAsiaTheme="minorEastAsia" w:hAnsiTheme="minorEastAsia" w:hint="eastAsia"/>
          <w:sz w:val="24"/>
          <w:szCs w:val="24"/>
        </w:rPr>
        <w:t>截至报告期末，本行股东总数为5,498户，比期初减少12户。具体情况如下：法人股东为22户，比期初减少1户；自然人股东为5476户，比期初减少11户。</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b/>
          <w:sz w:val="24"/>
          <w:szCs w:val="24"/>
        </w:rPr>
        <w:t>9.2.2</w:t>
      </w:r>
      <w:r>
        <w:rPr>
          <w:rFonts w:asciiTheme="minorEastAsia" w:eastAsiaTheme="minorEastAsia" w:hAnsiTheme="minorEastAsia" w:hint="eastAsia"/>
          <w:b/>
          <w:sz w:val="24"/>
          <w:szCs w:val="24"/>
        </w:rPr>
        <w:t>报告</w:t>
      </w:r>
      <w:proofErr w:type="gramStart"/>
      <w:r>
        <w:rPr>
          <w:rFonts w:asciiTheme="minorEastAsia" w:eastAsiaTheme="minorEastAsia" w:hAnsiTheme="minorEastAsia" w:hint="eastAsia"/>
          <w:b/>
          <w:sz w:val="24"/>
          <w:szCs w:val="24"/>
        </w:rPr>
        <w:t>期末前</w:t>
      </w:r>
      <w:proofErr w:type="gramEnd"/>
      <w:r>
        <w:rPr>
          <w:rFonts w:asciiTheme="minorEastAsia" w:eastAsiaTheme="minorEastAsia" w:hAnsiTheme="minorEastAsia" w:hint="eastAsia"/>
          <w:b/>
          <w:sz w:val="24"/>
          <w:szCs w:val="24"/>
        </w:rPr>
        <w:t>十大股东持股情况</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p>
    <w:p w:rsidR="008768CC" w:rsidRDefault="008768CC" w:rsidP="008768CC">
      <w:pPr>
        <w:widowControl w:val="0"/>
        <w:spacing w:after="120" w:line="500" w:lineRule="exact"/>
        <w:ind w:firstLineChars="0" w:firstLine="0"/>
        <w:jc w:val="right"/>
        <w:rPr>
          <w:rFonts w:asciiTheme="minorEastAsia" w:eastAsiaTheme="minorEastAsia" w:hAnsiTheme="minorEastAsia" w:cs="宋体" w:hint="eastAsia"/>
          <w:sz w:val="24"/>
          <w:szCs w:val="24"/>
        </w:rPr>
      </w:pPr>
    </w:p>
    <w:p w:rsidR="008768CC" w:rsidRDefault="008768CC" w:rsidP="008768CC">
      <w:pPr>
        <w:widowControl w:val="0"/>
        <w:spacing w:after="120" w:line="500" w:lineRule="exact"/>
        <w:ind w:firstLineChars="0" w:firstLine="0"/>
        <w:jc w:val="righ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单位：万股、%</w:t>
      </w:r>
    </w:p>
    <w:tbl>
      <w:tblPr>
        <w:tblW w:w="4998" w:type="pct"/>
        <w:jc w:val="center"/>
        <w:tblLook w:val="04A0" w:firstRow="1" w:lastRow="0" w:firstColumn="1" w:lastColumn="0" w:noHBand="0" w:noVBand="1"/>
      </w:tblPr>
      <w:tblGrid>
        <w:gridCol w:w="898"/>
        <w:gridCol w:w="4803"/>
        <w:gridCol w:w="1865"/>
        <w:gridCol w:w="1547"/>
      </w:tblGrid>
      <w:tr w:rsidR="008768CC" w:rsidTr="00293A0E">
        <w:trPr>
          <w:trHeight w:val="602"/>
          <w:jc w:val="center"/>
        </w:trPr>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kern w:val="0"/>
                <w:sz w:val="24"/>
                <w:szCs w:val="24"/>
                <w:lang w:bidi="ar"/>
              </w:rPr>
              <w:t>序号</w:t>
            </w:r>
          </w:p>
        </w:tc>
        <w:tc>
          <w:tcPr>
            <w:tcW w:w="2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b/>
                <w:bCs/>
                <w:color w:val="000000"/>
                <w:kern w:val="0"/>
                <w:sz w:val="24"/>
                <w:szCs w:val="24"/>
                <w:lang w:bidi="ar"/>
              </w:rPr>
            </w:pPr>
            <w:r>
              <w:rPr>
                <w:rFonts w:asciiTheme="minorEastAsia" w:eastAsiaTheme="minorEastAsia" w:hAnsiTheme="minorEastAsia" w:cs="宋体" w:hint="eastAsia"/>
                <w:b/>
                <w:bCs/>
                <w:color w:val="000000"/>
                <w:kern w:val="0"/>
                <w:sz w:val="24"/>
                <w:szCs w:val="24"/>
                <w:lang w:bidi="ar"/>
              </w:rPr>
              <w:t>股东名称</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b/>
                <w:bCs/>
                <w:color w:val="000000"/>
                <w:kern w:val="0"/>
                <w:sz w:val="24"/>
                <w:szCs w:val="24"/>
                <w:lang w:bidi="ar"/>
              </w:rPr>
            </w:pPr>
            <w:r>
              <w:rPr>
                <w:rFonts w:asciiTheme="minorEastAsia" w:eastAsiaTheme="minorEastAsia" w:hAnsiTheme="minorEastAsia" w:cs="宋体" w:hint="eastAsia"/>
                <w:b/>
                <w:bCs/>
                <w:color w:val="000000"/>
                <w:kern w:val="0"/>
                <w:sz w:val="24"/>
                <w:szCs w:val="24"/>
                <w:lang w:bidi="ar"/>
              </w:rPr>
              <w:t>持股数</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b/>
                <w:bCs/>
                <w:color w:val="000000"/>
                <w:kern w:val="0"/>
                <w:sz w:val="24"/>
                <w:szCs w:val="24"/>
                <w:lang w:bidi="ar"/>
              </w:rPr>
            </w:pPr>
            <w:r>
              <w:rPr>
                <w:rFonts w:asciiTheme="minorEastAsia" w:eastAsiaTheme="minorEastAsia" w:hAnsiTheme="minorEastAsia" w:cs="宋体" w:hint="eastAsia"/>
                <w:b/>
                <w:bCs/>
                <w:color w:val="000000"/>
                <w:kern w:val="0"/>
                <w:sz w:val="24"/>
                <w:szCs w:val="24"/>
                <w:lang w:bidi="ar"/>
              </w:rPr>
              <w:t>持股比例</w:t>
            </w:r>
          </w:p>
        </w:tc>
      </w:tr>
      <w:tr w:rsidR="008768CC" w:rsidTr="00293A0E">
        <w:trPr>
          <w:trHeight w:val="602"/>
          <w:jc w:val="center"/>
        </w:trPr>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1</w:t>
            </w:r>
          </w:p>
        </w:tc>
        <w:tc>
          <w:tcPr>
            <w:tcW w:w="2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信宜市信</w:t>
            </w:r>
            <w:proofErr w:type="gramStart"/>
            <w:r>
              <w:rPr>
                <w:rFonts w:asciiTheme="minorEastAsia" w:eastAsiaTheme="minorEastAsia" w:hAnsiTheme="minorEastAsia" w:cs="宋体" w:hint="eastAsia"/>
                <w:color w:val="000000"/>
                <w:kern w:val="0"/>
                <w:sz w:val="24"/>
                <w:szCs w:val="24"/>
                <w:lang w:bidi="ar"/>
              </w:rPr>
              <w:t>业产业</w:t>
            </w:r>
            <w:proofErr w:type="gramEnd"/>
            <w:r>
              <w:rPr>
                <w:rFonts w:asciiTheme="minorEastAsia" w:eastAsiaTheme="minorEastAsia" w:hAnsiTheme="minorEastAsia" w:cs="宋体" w:hint="eastAsia"/>
                <w:color w:val="000000"/>
                <w:kern w:val="0"/>
                <w:sz w:val="24"/>
                <w:szCs w:val="24"/>
                <w:lang w:bidi="ar"/>
              </w:rPr>
              <w:t>和工业园投资有限公司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6079.20</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9.93</w:t>
            </w:r>
          </w:p>
        </w:tc>
      </w:tr>
      <w:tr w:rsidR="008768CC" w:rsidTr="00293A0E">
        <w:trPr>
          <w:trHeight w:val="602"/>
          <w:jc w:val="center"/>
        </w:trPr>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2</w:t>
            </w:r>
          </w:p>
        </w:tc>
        <w:tc>
          <w:tcPr>
            <w:tcW w:w="2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佛山农村商业银行股份有限公司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5997.60</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9.80</w:t>
            </w:r>
          </w:p>
        </w:tc>
      </w:tr>
      <w:tr w:rsidR="008768CC" w:rsidTr="00293A0E">
        <w:trPr>
          <w:trHeight w:val="602"/>
          <w:jc w:val="center"/>
        </w:trPr>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3</w:t>
            </w:r>
          </w:p>
        </w:tc>
        <w:tc>
          <w:tcPr>
            <w:tcW w:w="2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茂名</w:t>
            </w:r>
            <w:proofErr w:type="gramStart"/>
            <w:r>
              <w:rPr>
                <w:rFonts w:asciiTheme="minorEastAsia" w:eastAsiaTheme="minorEastAsia" w:hAnsiTheme="minorEastAsia" w:cs="宋体" w:hint="eastAsia"/>
                <w:color w:val="000000"/>
                <w:kern w:val="0"/>
                <w:sz w:val="24"/>
                <w:szCs w:val="24"/>
                <w:lang w:bidi="ar"/>
              </w:rPr>
              <w:t>市兴盈不锈钢</w:t>
            </w:r>
            <w:proofErr w:type="gramEnd"/>
            <w:r>
              <w:rPr>
                <w:rFonts w:asciiTheme="minorEastAsia" w:eastAsiaTheme="minorEastAsia" w:hAnsiTheme="minorEastAsia" w:cs="宋体" w:hint="eastAsia"/>
                <w:color w:val="000000"/>
                <w:kern w:val="0"/>
                <w:sz w:val="24"/>
                <w:szCs w:val="24"/>
                <w:lang w:bidi="ar"/>
              </w:rPr>
              <w:t>发展有限公司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3060.00</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5.00</w:t>
            </w:r>
          </w:p>
        </w:tc>
      </w:tr>
      <w:tr w:rsidR="008768CC" w:rsidTr="00293A0E">
        <w:trPr>
          <w:trHeight w:val="602"/>
          <w:jc w:val="center"/>
        </w:trPr>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4</w:t>
            </w:r>
          </w:p>
        </w:tc>
        <w:tc>
          <w:tcPr>
            <w:tcW w:w="2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信宜江东电器科技有限公司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3060.00</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5.00</w:t>
            </w:r>
          </w:p>
        </w:tc>
      </w:tr>
      <w:tr w:rsidR="008768CC" w:rsidTr="00293A0E">
        <w:trPr>
          <w:trHeight w:val="602"/>
          <w:jc w:val="center"/>
        </w:trPr>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5</w:t>
            </w:r>
          </w:p>
        </w:tc>
        <w:tc>
          <w:tcPr>
            <w:tcW w:w="2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信宜市泰隆房地产开发有限公司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1448.40</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2.37</w:t>
            </w:r>
          </w:p>
        </w:tc>
      </w:tr>
      <w:tr w:rsidR="008768CC" w:rsidTr="00293A0E">
        <w:trPr>
          <w:trHeight w:val="602"/>
          <w:jc w:val="center"/>
        </w:trPr>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6</w:t>
            </w:r>
          </w:p>
        </w:tc>
        <w:tc>
          <w:tcPr>
            <w:tcW w:w="2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茂名市海景湾国际大酒店有限公司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1020.00</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1.67</w:t>
            </w:r>
          </w:p>
        </w:tc>
      </w:tr>
      <w:tr w:rsidR="008768CC" w:rsidTr="00293A0E">
        <w:trPr>
          <w:trHeight w:val="602"/>
          <w:jc w:val="center"/>
        </w:trPr>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7</w:t>
            </w:r>
          </w:p>
        </w:tc>
        <w:tc>
          <w:tcPr>
            <w:tcW w:w="2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东莞市茂东实业投资有限公司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1020.00</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1.67</w:t>
            </w:r>
          </w:p>
        </w:tc>
      </w:tr>
      <w:tr w:rsidR="008768CC" w:rsidTr="00293A0E">
        <w:trPr>
          <w:trHeight w:val="602"/>
          <w:jc w:val="center"/>
        </w:trPr>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8</w:t>
            </w:r>
          </w:p>
        </w:tc>
        <w:tc>
          <w:tcPr>
            <w:tcW w:w="2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广东新兴农村商业银行股份有限公司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1020.00</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1.67</w:t>
            </w:r>
          </w:p>
        </w:tc>
      </w:tr>
      <w:tr w:rsidR="008768CC" w:rsidTr="00293A0E">
        <w:trPr>
          <w:trHeight w:val="602"/>
          <w:jc w:val="center"/>
        </w:trPr>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9</w:t>
            </w:r>
          </w:p>
        </w:tc>
        <w:tc>
          <w:tcPr>
            <w:tcW w:w="2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信宜市中信房产置业有限公司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716.04</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1.17</w:t>
            </w:r>
          </w:p>
        </w:tc>
      </w:tr>
      <w:tr w:rsidR="008768CC" w:rsidTr="00293A0E">
        <w:trPr>
          <w:trHeight w:val="602"/>
          <w:jc w:val="center"/>
        </w:trPr>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10</w:t>
            </w:r>
          </w:p>
        </w:tc>
        <w:tc>
          <w:tcPr>
            <w:tcW w:w="2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鸿</w:t>
            </w:r>
            <w:proofErr w:type="gramStart"/>
            <w:r>
              <w:rPr>
                <w:rFonts w:asciiTheme="minorEastAsia" w:eastAsiaTheme="minorEastAsia" w:hAnsiTheme="minorEastAsia" w:cs="宋体" w:hint="eastAsia"/>
                <w:color w:val="000000"/>
                <w:kern w:val="0"/>
                <w:sz w:val="24"/>
                <w:szCs w:val="24"/>
                <w:lang w:bidi="ar"/>
              </w:rPr>
              <w:t>霖</w:t>
            </w:r>
            <w:proofErr w:type="gramEnd"/>
            <w:r>
              <w:rPr>
                <w:rFonts w:asciiTheme="minorEastAsia" w:eastAsiaTheme="minorEastAsia" w:hAnsiTheme="minorEastAsia" w:cs="宋体" w:hint="eastAsia"/>
                <w:color w:val="000000"/>
                <w:kern w:val="0"/>
                <w:sz w:val="24"/>
                <w:szCs w:val="24"/>
                <w:lang w:bidi="ar"/>
              </w:rPr>
              <w:t>股份有限公司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408.00</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0.67</w:t>
            </w:r>
          </w:p>
        </w:tc>
      </w:tr>
      <w:tr w:rsidR="008768CC" w:rsidTr="00293A0E">
        <w:trPr>
          <w:trHeight w:val="602"/>
          <w:jc w:val="center"/>
        </w:trPr>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合计</w:t>
            </w:r>
          </w:p>
        </w:tc>
        <w:tc>
          <w:tcPr>
            <w:tcW w:w="2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3829.24</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napToGrid w:val="0"/>
              <w:spacing w:line="440" w:lineRule="exact"/>
              <w:ind w:firstLineChars="0" w:firstLine="0"/>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38.95</w:t>
            </w:r>
          </w:p>
        </w:tc>
      </w:tr>
    </w:tbl>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9.2.3前十大股东持股变动情况</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2023年4月3日，本行法人股东鸿</w:t>
      </w:r>
      <w:proofErr w:type="gramStart"/>
      <w:r>
        <w:rPr>
          <w:rFonts w:asciiTheme="minorEastAsia" w:eastAsiaTheme="minorEastAsia" w:hAnsiTheme="minorEastAsia" w:hint="eastAsia"/>
          <w:sz w:val="24"/>
          <w:szCs w:val="24"/>
        </w:rPr>
        <w:t>霖</w:t>
      </w:r>
      <w:proofErr w:type="gramEnd"/>
      <w:r>
        <w:rPr>
          <w:rFonts w:asciiTheme="minorEastAsia" w:eastAsiaTheme="minorEastAsia" w:hAnsiTheme="minorEastAsia" w:hint="eastAsia"/>
          <w:sz w:val="24"/>
          <w:szCs w:val="24"/>
        </w:rPr>
        <w:t>股份有限公司、信宜</w:t>
      </w:r>
      <w:proofErr w:type="gramStart"/>
      <w:r>
        <w:rPr>
          <w:rFonts w:asciiTheme="minorEastAsia" w:eastAsiaTheme="minorEastAsia" w:hAnsiTheme="minorEastAsia" w:hint="eastAsia"/>
          <w:sz w:val="24"/>
          <w:szCs w:val="24"/>
        </w:rPr>
        <w:t>市嘉苑房地产</w:t>
      </w:r>
      <w:proofErr w:type="gramEnd"/>
      <w:r>
        <w:rPr>
          <w:rFonts w:asciiTheme="minorEastAsia" w:eastAsiaTheme="minorEastAsia" w:hAnsiTheme="minorEastAsia" w:hint="eastAsia"/>
          <w:sz w:val="24"/>
          <w:szCs w:val="24"/>
        </w:rPr>
        <w:t>有限公司、信宜市居安物业管理有限公司分别转让其所持本行的股份38,760,000股、12,342,000股、9,690,000股（上述转让股份合计60,792,000股，合计占本行总股本9.93%，）给信宜市信</w:t>
      </w:r>
      <w:proofErr w:type="gramStart"/>
      <w:r>
        <w:rPr>
          <w:rFonts w:asciiTheme="minorEastAsia" w:eastAsiaTheme="minorEastAsia" w:hAnsiTheme="minorEastAsia" w:hint="eastAsia"/>
          <w:sz w:val="24"/>
          <w:szCs w:val="24"/>
        </w:rPr>
        <w:t>业产业</w:t>
      </w:r>
      <w:proofErr w:type="gramEnd"/>
      <w:r>
        <w:rPr>
          <w:rFonts w:asciiTheme="minorEastAsia" w:eastAsiaTheme="minorEastAsia" w:hAnsiTheme="minorEastAsia" w:hint="eastAsia"/>
          <w:sz w:val="24"/>
          <w:szCs w:val="24"/>
        </w:rPr>
        <w:t>和工业园投资有限公司。信宜市信</w:t>
      </w:r>
      <w:proofErr w:type="gramStart"/>
      <w:r>
        <w:rPr>
          <w:rFonts w:asciiTheme="minorEastAsia" w:eastAsiaTheme="minorEastAsia" w:hAnsiTheme="minorEastAsia" w:hint="eastAsia"/>
          <w:sz w:val="24"/>
          <w:szCs w:val="24"/>
        </w:rPr>
        <w:t>业产业</w:t>
      </w:r>
      <w:proofErr w:type="gramEnd"/>
      <w:r>
        <w:rPr>
          <w:rFonts w:asciiTheme="minorEastAsia" w:eastAsiaTheme="minorEastAsia" w:hAnsiTheme="minorEastAsia" w:hint="eastAsia"/>
          <w:sz w:val="24"/>
          <w:szCs w:val="24"/>
        </w:rPr>
        <w:t>和工业园投资有限公司成功受让并成为本行持股最多的股东，鸿</w:t>
      </w:r>
      <w:proofErr w:type="gramStart"/>
      <w:r>
        <w:rPr>
          <w:rFonts w:asciiTheme="minorEastAsia" w:eastAsiaTheme="minorEastAsia" w:hAnsiTheme="minorEastAsia" w:hint="eastAsia"/>
          <w:sz w:val="24"/>
          <w:szCs w:val="24"/>
        </w:rPr>
        <w:t>霖</w:t>
      </w:r>
      <w:proofErr w:type="gramEnd"/>
      <w:r>
        <w:rPr>
          <w:rFonts w:asciiTheme="minorEastAsia" w:eastAsiaTheme="minorEastAsia" w:hAnsiTheme="minorEastAsia" w:hint="eastAsia"/>
          <w:sz w:val="24"/>
          <w:szCs w:val="24"/>
        </w:rPr>
        <w:t>股份有限公司剩余持本行股份4,080,000股（占本行总股本的0.67%），信宜</w:t>
      </w:r>
      <w:proofErr w:type="gramStart"/>
      <w:r>
        <w:rPr>
          <w:rFonts w:asciiTheme="minorEastAsia" w:eastAsiaTheme="minorEastAsia" w:hAnsiTheme="minorEastAsia" w:hint="eastAsia"/>
          <w:sz w:val="24"/>
          <w:szCs w:val="24"/>
        </w:rPr>
        <w:t>市嘉苑房地产</w:t>
      </w:r>
      <w:proofErr w:type="gramEnd"/>
      <w:r>
        <w:rPr>
          <w:rFonts w:asciiTheme="minorEastAsia" w:eastAsiaTheme="minorEastAsia" w:hAnsiTheme="minorEastAsia" w:hint="eastAsia"/>
          <w:sz w:val="24"/>
          <w:szCs w:val="24"/>
        </w:rPr>
        <w:t>有限公司、信宜市居安物业管理有限公司不再为本行股东。</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9.2.4持股5%以上的股东基本情况</w:t>
      </w:r>
    </w:p>
    <w:p w:rsidR="008768CC" w:rsidRDefault="008768CC" w:rsidP="008768CC">
      <w:pPr>
        <w:widowControl w:val="0"/>
        <w:snapToGrid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1.信宜市信</w:t>
      </w:r>
      <w:proofErr w:type="gramStart"/>
      <w:r>
        <w:rPr>
          <w:rFonts w:asciiTheme="minorEastAsia" w:eastAsiaTheme="minorEastAsia" w:hAnsiTheme="minorEastAsia" w:hint="eastAsia"/>
          <w:b/>
          <w:sz w:val="24"/>
          <w:szCs w:val="24"/>
        </w:rPr>
        <w:t>业产业</w:t>
      </w:r>
      <w:proofErr w:type="gramEnd"/>
      <w:r>
        <w:rPr>
          <w:rFonts w:asciiTheme="minorEastAsia" w:eastAsiaTheme="minorEastAsia" w:hAnsiTheme="minorEastAsia" w:hint="eastAsia"/>
          <w:b/>
          <w:sz w:val="24"/>
          <w:szCs w:val="24"/>
        </w:rPr>
        <w:t>和工业园投资有限公司</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该公司成立于2017年4月18 日，注册资本为60,000万元人民币，法定代表人金磊，</w:t>
      </w:r>
      <w:r>
        <w:rPr>
          <w:rFonts w:asciiTheme="minorEastAsia" w:eastAsiaTheme="minorEastAsia" w:hAnsiTheme="minorEastAsia" w:hint="eastAsia"/>
          <w:sz w:val="24"/>
          <w:szCs w:val="24"/>
        </w:rPr>
        <w:lastRenderedPageBreak/>
        <w:t>注册地址为广东省茂名市信宜市东镇六运社区（207国道旁）工业园办公楼，经营范围为一般项目：园区管理服务；土地整治服务；土地使用权租赁；规划设计管理；园林绿化工程施工；技术服务、技术开发、技术咨询、技术交流、技术转让、技术推广；土石方工程施工；建筑材料销售；机械设备销售。（除依法须经批准的项目外，凭营业执照依法自主开展经营活动）许可项目：建设工程施工；房地产开发经营；公路管理与养护。截至报告期末，该公司持有本行股份6,079.2万股，持股占比9.93%。</w:t>
      </w:r>
    </w:p>
    <w:p w:rsidR="008768CC" w:rsidRDefault="008768CC" w:rsidP="008768CC">
      <w:pPr>
        <w:widowControl w:val="0"/>
        <w:snapToGrid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Pr>
          <w:rFonts w:asciiTheme="minorEastAsia" w:eastAsiaTheme="minorEastAsia" w:hAnsiTheme="minorEastAsia" w:cs="仿宋_GB2312" w:hint="eastAsia"/>
          <w:b/>
          <w:sz w:val="24"/>
          <w:szCs w:val="24"/>
        </w:rPr>
        <w:t>佛山农村商业银行股份有限公司</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该行在2012年12月于</w:t>
      </w:r>
      <w:proofErr w:type="gramStart"/>
      <w:r>
        <w:rPr>
          <w:rFonts w:asciiTheme="minorEastAsia" w:eastAsiaTheme="minorEastAsia" w:hAnsiTheme="minorEastAsia" w:hint="eastAsia"/>
          <w:sz w:val="24"/>
          <w:szCs w:val="24"/>
        </w:rPr>
        <w:t>佛山市禅城区</w:t>
      </w:r>
      <w:proofErr w:type="gramEnd"/>
      <w:r>
        <w:rPr>
          <w:rFonts w:asciiTheme="minorEastAsia" w:eastAsiaTheme="minorEastAsia" w:hAnsiTheme="minorEastAsia" w:hint="eastAsia"/>
          <w:sz w:val="24"/>
          <w:szCs w:val="24"/>
        </w:rPr>
        <w:t>农村信用合作联社基础上组建，于2019年8月吸收合并广东高明农村商业银行股份有限公司、佛山市三水区农村信用合作联社。注册资本为379,937.039万元人民币，法定代表人李川，注册地址为</w:t>
      </w:r>
      <w:proofErr w:type="gramStart"/>
      <w:r>
        <w:rPr>
          <w:rFonts w:asciiTheme="minorEastAsia" w:eastAsiaTheme="minorEastAsia" w:hAnsiTheme="minorEastAsia" w:hint="eastAsia"/>
          <w:sz w:val="24"/>
          <w:szCs w:val="24"/>
        </w:rPr>
        <w:t>佛山市禅城区</w:t>
      </w:r>
      <w:proofErr w:type="gramEnd"/>
      <w:r>
        <w:rPr>
          <w:rFonts w:asciiTheme="minorEastAsia" w:eastAsiaTheme="minorEastAsia" w:hAnsiTheme="minorEastAsia" w:hint="eastAsia"/>
          <w:sz w:val="24"/>
          <w:szCs w:val="24"/>
        </w:rPr>
        <w:t>华远东路5号，经营范围为吸收人民币存款；发放短期、中期和长期贷款；办理国内结算；办理票据承兑与贴现；代理发行、代理兑付、承销政府债券；买卖政府债券、金融债券；按中国人民银行规定从事同业拆借；代理收付款项；提供保管箱服务；银行卡（借记卡）业务；外汇存款、外汇贷款、外汇汇款、外币兑换、国际结算、同业外汇拆借、代客外汇买卖、外汇票据贴现、结汇和售汇业务；代理保险业务；代理贵金属业务；证券投资基金销售业务；经国务院银行业监督管理机构等监管部门批准或备案的其他业务。截至报告期末，该公司持有本行股份5,997.6万股，持股占比9.8%。</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3.茂名</w:t>
      </w:r>
      <w:proofErr w:type="gramStart"/>
      <w:r>
        <w:rPr>
          <w:rFonts w:asciiTheme="minorEastAsia" w:eastAsiaTheme="minorEastAsia" w:hAnsiTheme="minorEastAsia" w:hint="eastAsia"/>
          <w:b/>
          <w:sz w:val="24"/>
          <w:szCs w:val="24"/>
        </w:rPr>
        <w:t>市兴盈不锈钢</w:t>
      </w:r>
      <w:proofErr w:type="gramEnd"/>
      <w:r>
        <w:rPr>
          <w:rFonts w:asciiTheme="minorEastAsia" w:eastAsiaTheme="minorEastAsia" w:hAnsiTheme="minorEastAsia" w:hint="eastAsia"/>
          <w:b/>
          <w:sz w:val="24"/>
          <w:szCs w:val="24"/>
        </w:rPr>
        <w:t>发展有限公司</w:t>
      </w:r>
    </w:p>
    <w:p w:rsidR="008768CC" w:rsidRDefault="008768CC" w:rsidP="008768CC">
      <w:pPr>
        <w:widowControl w:val="0"/>
        <w:snapToGrid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4"/>
          <w:szCs w:val="24"/>
        </w:rPr>
        <w:t>该公司成立于2010年12月30日，注册资本3,000万元人民币，法定代表人江伟韬，注册地址为高州市金山开发区金水大道168号1号楼102房，经营范围为销售：不锈钢板、不锈钢管、金属预制件，不锈钢板整平、磨砂、粘膜。截至报告期末，该公司持有本行股份3,060万股，持股占比5%。</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4.信宜江东电器科技有限公司</w:t>
      </w:r>
    </w:p>
    <w:p w:rsidR="008768CC" w:rsidRDefault="008768CC" w:rsidP="008768CC">
      <w:pPr>
        <w:widowControl w:val="0"/>
        <w:snapToGrid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该公司成立于2008年8月20日，注册资本1,000万元人民币，法定代表人阮覃伟，注册地址为广东省茂名市信宜市东镇大坡山东风塘，经营范围为生产、销售:日用电器产品、五金制品、化妆品。截至报告期末，该公司持有本行股份3,060万股，持股占比5%。</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9.2.5主要股东及其控股股东、实际控制人、关联方、一致行动人、最终受益人情况</w:t>
      </w:r>
    </w:p>
    <w:p w:rsidR="008768CC" w:rsidRDefault="008768CC" w:rsidP="008768CC">
      <w:pPr>
        <w:widowControl w:val="0"/>
        <w:spacing w:after="120" w:line="500" w:lineRule="exact"/>
        <w:ind w:firstLineChars="0" w:firstLine="0"/>
        <w:rPr>
          <w:rFonts w:asciiTheme="minorEastAsia" w:eastAsiaTheme="minorEastAsia" w:hAnsiTheme="minorEastAsia"/>
          <w:sz w:val="24"/>
          <w:szCs w:val="24"/>
        </w:rPr>
      </w:pP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018"/>
        <w:gridCol w:w="806"/>
        <w:gridCol w:w="1206"/>
        <w:gridCol w:w="1031"/>
        <w:gridCol w:w="1696"/>
        <w:gridCol w:w="1006"/>
        <w:gridCol w:w="1123"/>
      </w:tblGrid>
      <w:tr w:rsidR="008768CC" w:rsidTr="00293A0E">
        <w:trPr>
          <w:cantSplit/>
          <w:trHeight w:val="90"/>
          <w:tblHeader/>
          <w:jc w:val="center"/>
        </w:trPr>
        <w:tc>
          <w:tcPr>
            <w:tcW w:w="1006" w:type="dxa"/>
            <w:vAlign w:val="center"/>
          </w:tcPr>
          <w:p w:rsidR="008768CC" w:rsidRDefault="008768CC" w:rsidP="00293A0E">
            <w:pPr>
              <w:spacing w:line="500" w:lineRule="exact"/>
              <w:ind w:firstLineChars="0" w:firstLine="0"/>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序号</w:t>
            </w:r>
          </w:p>
        </w:tc>
        <w:tc>
          <w:tcPr>
            <w:tcW w:w="1018" w:type="dxa"/>
            <w:vAlign w:val="center"/>
          </w:tcPr>
          <w:p w:rsidR="008768CC" w:rsidRDefault="008768CC" w:rsidP="00293A0E">
            <w:pPr>
              <w:spacing w:line="500" w:lineRule="exact"/>
              <w:ind w:firstLineChars="0" w:firstLine="0"/>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主要股东名称</w:t>
            </w:r>
          </w:p>
        </w:tc>
        <w:tc>
          <w:tcPr>
            <w:tcW w:w="806" w:type="dxa"/>
            <w:vAlign w:val="center"/>
          </w:tcPr>
          <w:p w:rsidR="008768CC" w:rsidRDefault="008768CC" w:rsidP="00293A0E">
            <w:pPr>
              <w:spacing w:line="500" w:lineRule="exact"/>
              <w:ind w:firstLineChars="0" w:firstLine="0"/>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列为主要股东原因</w:t>
            </w:r>
          </w:p>
        </w:tc>
        <w:tc>
          <w:tcPr>
            <w:tcW w:w="1206" w:type="dxa"/>
            <w:vAlign w:val="center"/>
          </w:tcPr>
          <w:p w:rsidR="008768CC" w:rsidRDefault="008768CC" w:rsidP="00293A0E">
            <w:pPr>
              <w:spacing w:line="500" w:lineRule="exact"/>
              <w:ind w:firstLineChars="0" w:firstLine="0"/>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控股股东</w:t>
            </w:r>
          </w:p>
        </w:tc>
        <w:tc>
          <w:tcPr>
            <w:tcW w:w="1031" w:type="dxa"/>
            <w:vAlign w:val="center"/>
          </w:tcPr>
          <w:p w:rsidR="008768CC" w:rsidRDefault="008768CC" w:rsidP="00293A0E">
            <w:pPr>
              <w:spacing w:line="500" w:lineRule="exact"/>
              <w:ind w:firstLineChars="0" w:firstLine="0"/>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实际控制人</w:t>
            </w:r>
          </w:p>
        </w:tc>
        <w:tc>
          <w:tcPr>
            <w:tcW w:w="1696" w:type="dxa"/>
            <w:vAlign w:val="center"/>
          </w:tcPr>
          <w:p w:rsidR="008768CC" w:rsidRDefault="008768CC" w:rsidP="00293A0E">
            <w:pPr>
              <w:spacing w:line="500" w:lineRule="exact"/>
              <w:ind w:firstLineChars="0" w:firstLine="0"/>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关联方</w:t>
            </w:r>
          </w:p>
        </w:tc>
        <w:tc>
          <w:tcPr>
            <w:tcW w:w="1006" w:type="dxa"/>
            <w:vAlign w:val="center"/>
          </w:tcPr>
          <w:p w:rsidR="008768CC" w:rsidRDefault="008768CC" w:rsidP="00293A0E">
            <w:pPr>
              <w:spacing w:line="500" w:lineRule="exact"/>
              <w:ind w:firstLineChars="0" w:firstLine="0"/>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一致行动人</w:t>
            </w:r>
          </w:p>
        </w:tc>
        <w:tc>
          <w:tcPr>
            <w:tcW w:w="1123" w:type="dxa"/>
            <w:vAlign w:val="center"/>
          </w:tcPr>
          <w:p w:rsidR="008768CC" w:rsidRDefault="008768CC" w:rsidP="00293A0E">
            <w:pPr>
              <w:spacing w:line="500" w:lineRule="exact"/>
              <w:ind w:firstLineChars="0" w:firstLine="0"/>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最终受益人</w:t>
            </w:r>
          </w:p>
        </w:tc>
      </w:tr>
      <w:tr w:rsidR="008768CC" w:rsidTr="00293A0E">
        <w:trPr>
          <w:cantSplit/>
          <w:trHeight w:val="2195"/>
          <w:jc w:val="center"/>
        </w:trPr>
        <w:tc>
          <w:tcPr>
            <w:tcW w:w="1006" w:type="dxa"/>
            <w:noWrap/>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w:t>
            </w:r>
          </w:p>
        </w:tc>
        <w:tc>
          <w:tcPr>
            <w:tcW w:w="1018"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信宜市信</w:t>
            </w:r>
            <w:proofErr w:type="gramStart"/>
            <w:r>
              <w:rPr>
                <w:rFonts w:asciiTheme="minorEastAsia" w:eastAsiaTheme="minorEastAsia" w:hAnsiTheme="minorEastAsia" w:cs="宋体" w:hint="eastAsia"/>
                <w:sz w:val="24"/>
                <w:szCs w:val="24"/>
              </w:rPr>
              <w:t>业产业</w:t>
            </w:r>
            <w:proofErr w:type="gramEnd"/>
            <w:r>
              <w:rPr>
                <w:rFonts w:asciiTheme="minorEastAsia" w:eastAsiaTheme="minorEastAsia" w:hAnsiTheme="minorEastAsia" w:cs="宋体" w:hint="eastAsia"/>
                <w:sz w:val="24"/>
                <w:szCs w:val="24"/>
              </w:rPr>
              <w:t>和工业园投资有限公司</w:t>
            </w:r>
          </w:p>
        </w:tc>
        <w:tc>
          <w:tcPr>
            <w:tcW w:w="806"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持股</w:t>
            </w:r>
            <w:r>
              <w:rPr>
                <w:rFonts w:asciiTheme="minorEastAsia" w:eastAsiaTheme="minorEastAsia" w:hAnsiTheme="minorEastAsia" w:cs="宋体"/>
                <w:sz w:val="24"/>
                <w:szCs w:val="24"/>
              </w:rPr>
              <w:t>5%以上，派驻</w:t>
            </w:r>
            <w:r>
              <w:rPr>
                <w:rFonts w:asciiTheme="minorEastAsia" w:eastAsiaTheme="minorEastAsia" w:hAnsiTheme="minorEastAsia" w:cs="宋体" w:hint="eastAsia"/>
                <w:sz w:val="24"/>
                <w:szCs w:val="24"/>
              </w:rPr>
              <w:t>俞君乾</w:t>
            </w:r>
            <w:r>
              <w:rPr>
                <w:rFonts w:asciiTheme="minorEastAsia" w:eastAsiaTheme="minorEastAsia" w:hAnsiTheme="minorEastAsia" w:cs="宋体"/>
                <w:sz w:val="24"/>
                <w:szCs w:val="24"/>
              </w:rPr>
              <w:t>董事</w:t>
            </w:r>
          </w:p>
        </w:tc>
        <w:tc>
          <w:tcPr>
            <w:tcW w:w="1206"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bidi="ar"/>
              </w:rPr>
              <w:t>信宜市信汇国有资本投资集团有限公司</w:t>
            </w:r>
          </w:p>
        </w:tc>
        <w:tc>
          <w:tcPr>
            <w:tcW w:w="1031"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信宜市财政局</w:t>
            </w:r>
          </w:p>
        </w:tc>
        <w:tc>
          <w:tcPr>
            <w:tcW w:w="1696" w:type="dxa"/>
            <w:vAlign w:val="center"/>
          </w:tcPr>
          <w:p w:rsidR="008768CC" w:rsidRDefault="008768CC" w:rsidP="00293A0E">
            <w:pPr>
              <w:spacing w:line="500" w:lineRule="exact"/>
              <w:ind w:firstLineChars="0" w:firstLine="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bidi="ar"/>
              </w:rPr>
              <w:t>信宜市信汇国有资本投资集团有限公司、邱瑞宏、吕兰英、刘晓林、何居森、金磊、赖锋、杨龙生、赖梁金、张琳悦、成林桂、邱柏量、郑维华等14个关联方</w:t>
            </w:r>
          </w:p>
        </w:tc>
        <w:tc>
          <w:tcPr>
            <w:tcW w:w="1006"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无</w:t>
            </w:r>
          </w:p>
        </w:tc>
        <w:tc>
          <w:tcPr>
            <w:tcW w:w="1123"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信宜市财政局</w:t>
            </w:r>
          </w:p>
        </w:tc>
      </w:tr>
      <w:tr w:rsidR="008768CC" w:rsidTr="00293A0E">
        <w:trPr>
          <w:cantSplit/>
          <w:trHeight w:val="11672"/>
          <w:jc w:val="center"/>
        </w:trPr>
        <w:tc>
          <w:tcPr>
            <w:tcW w:w="1006" w:type="dxa"/>
            <w:noWrap/>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2</w:t>
            </w:r>
          </w:p>
        </w:tc>
        <w:tc>
          <w:tcPr>
            <w:tcW w:w="1018"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佛山农村商业银行股份有限公司</w:t>
            </w:r>
          </w:p>
        </w:tc>
        <w:tc>
          <w:tcPr>
            <w:tcW w:w="806"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持股</w:t>
            </w:r>
            <w:r>
              <w:rPr>
                <w:rFonts w:asciiTheme="minorEastAsia" w:eastAsiaTheme="minorEastAsia" w:hAnsiTheme="minorEastAsia" w:cs="宋体"/>
                <w:sz w:val="24"/>
                <w:szCs w:val="24"/>
              </w:rPr>
              <w:t>5%以上，派驻</w:t>
            </w:r>
            <w:r>
              <w:rPr>
                <w:rFonts w:asciiTheme="minorEastAsia" w:eastAsiaTheme="minorEastAsia" w:hAnsiTheme="minorEastAsia" w:cs="宋体" w:hint="eastAsia"/>
                <w:sz w:val="24"/>
                <w:szCs w:val="24"/>
              </w:rPr>
              <w:t>刘才富</w:t>
            </w:r>
            <w:r>
              <w:rPr>
                <w:rFonts w:asciiTheme="minorEastAsia" w:eastAsiaTheme="minorEastAsia" w:hAnsiTheme="minorEastAsia" w:cs="宋体"/>
                <w:sz w:val="24"/>
                <w:szCs w:val="24"/>
              </w:rPr>
              <w:t>董事</w:t>
            </w:r>
          </w:p>
        </w:tc>
        <w:tc>
          <w:tcPr>
            <w:tcW w:w="1206"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无</w:t>
            </w:r>
          </w:p>
        </w:tc>
        <w:tc>
          <w:tcPr>
            <w:tcW w:w="1031"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无</w:t>
            </w:r>
          </w:p>
        </w:tc>
        <w:tc>
          <w:tcPr>
            <w:tcW w:w="1696" w:type="dxa"/>
            <w:vAlign w:val="center"/>
          </w:tcPr>
          <w:p w:rsidR="008768CC" w:rsidRDefault="008768CC" w:rsidP="00293A0E">
            <w:pPr>
              <w:spacing w:line="500" w:lineRule="exact"/>
              <w:ind w:firstLineChars="0" w:firstLine="0"/>
              <w:rPr>
                <w:rFonts w:asciiTheme="minorEastAsia" w:eastAsiaTheme="minorEastAsia" w:hAnsiTheme="minorEastAsia" w:cs="宋体"/>
                <w:sz w:val="24"/>
                <w:szCs w:val="24"/>
                <w:lang w:bidi="ar"/>
              </w:rPr>
            </w:pPr>
            <w:r>
              <w:rPr>
                <w:rFonts w:asciiTheme="minorEastAsia" w:eastAsiaTheme="minorEastAsia" w:hAnsiTheme="minorEastAsia" w:cs="宋体" w:hint="eastAsia"/>
                <w:sz w:val="24"/>
                <w:szCs w:val="24"/>
                <w:lang w:bidi="ar"/>
              </w:rPr>
              <w:t>李川、黄勇、曾强、肖峰雷、李少玲、叶振明、徐勇、王仁曾、徐海潮、王明晖、彭建华、</w:t>
            </w:r>
            <w:proofErr w:type="gramStart"/>
            <w:r>
              <w:rPr>
                <w:rFonts w:asciiTheme="minorEastAsia" w:eastAsiaTheme="minorEastAsia" w:hAnsiTheme="minorEastAsia" w:cs="宋体" w:hint="eastAsia"/>
                <w:sz w:val="24"/>
                <w:szCs w:val="24"/>
                <w:lang w:bidi="ar"/>
              </w:rPr>
              <w:t>候权洪</w:t>
            </w:r>
            <w:proofErr w:type="gramEnd"/>
            <w:r>
              <w:rPr>
                <w:rFonts w:asciiTheme="minorEastAsia" w:eastAsiaTheme="minorEastAsia" w:hAnsiTheme="minorEastAsia" w:cs="宋体" w:hint="eastAsia"/>
                <w:sz w:val="24"/>
                <w:szCs w:val="24"/>
                <w:lang w:bidi="ar"/>
              </w:rPr>
              <w:t>、胡军、熊伟杰、陈彩仙、徐继超、李志全、单苏建、李雄辉、黄建豪、刘保国、颜</w:t>
            </w:r>
            <w:proofErr w:type="gramStart"/>
            <w:r>
              <w:rPr>
                <w:rFonts w:asciiTheme="minorEastAsia" w:eastAsiaTheme="minorEastAsia" w:hAnsiTheme="minorEastAsia" w:cs="宋体" w:hint="eastAsia"/>
                <w:sz w:val="24"/>
                <w:szCs w:val="24"/>
                <w:lang w:bidi="ar"/>
              </w:rPr>
              <w:t>啟</w:t>
            </w:r>
            <w:proofErr w:type="gramEnd"/>
            <w:r>
              <w:rPr>
                <w:rFonts w:asciiTheme="minorEastAsia" w:eastAsiaTheme="minorEastAsia" w:hAnsiTheme="minorEastAsia" w:cs="宋体" w:hint="eastAsia"/>
                <w:sz w:val="24"/>
                <w:szCs w:val="24"/>
                <w:lang w:bidi="ar"/>
              </w:rPr>
              <w:t>洪、刘才富等24个关联方</w:t>
            </w:r>
          </w:p>
          <w:p w:rsidR="008768CC" w:rsidRDefault="008768CC" w:rsidP="00293A0E">
            <w:pPr>
              <w:widowControl w:val="0"/>
              <w:spacing w:after="120" w:line="240" w:lineRule="auto"/>
              <w:ind w:firstLineChars="0" w:firstLine="0"/>
              <w:rPr>
                <w:rFonts w:ascii="宋体" w:eastAsia="宋体" w:hAnsi="宋体"/>
                <w:sz w:val="24"/>
                <w:szCs w:val="24"/>
                <w:lang w:bidi="ar"/>
              </w:rPr>
            </w:pPr>
          </w:p>
          <w:p w:rsidR="008768CC" w:rsidRDefault="008768CC" w:rsidP="00293A0E">
            <w:pPr>
              <w:widowControl w:val="0"/>
              <w:spacing w:after="120" w:line="240" w:lineRule="auto"/>
              <w:ind w:firstLineChars="0" w:firstLine="0"/>
              <w:rPr>
                <w:rFonts w:ascii="宋体" w:eastAsia="宋体" w:hAnsi="宋体"/>
                <w:sz w:val="24"/>
                <w:szCs w:val="24"/>
                <w:lang w:bidi="ar"/>
              </w:rPr>
            </w:pPr>
          </w:p>
          <w:p w:rsidR="008768CC" w:rsidRDefault="008768CC" w:rsidP="00293A0E">
            <w:pPr>
              <w:widowControl w:val="0"/>
              <w:spacing w:after="120" w:line="240" w:lineRule="auto"/>
              <w:ind w:firstLineChars="0" w:firstLine="0"/>
              <w:rPr>
                <w:rFonts w:ascii="宋体" w:eastAsia="宋体" w:hAnsi="宋体"/>
                <w:sz w:val="24"/>
                <w:szCs w:val="24"/>
                <w:lang w:bidi="ar"/>
              </w:rPr>
            </w:pPr>
          </w:p>
          <w:p w:rsidR="008768CC" w:rsidRDefault="008768CC" w:rsidP="00293A0E">
            <w:pPr>
              <w:widowControl w:val="0"/>
              <w:spacing w:after="120" w:line="240" w:lineRule="auto"/>
              <w:ind w:firstLineChars="0" w:firstLine="0"/>
              <w:rPr>
                <w:rFonts w:ascii="宋体" w:eastAsia="宋体" w:hAnsi="宋体"/>
                <w:sz w:val="24"/>
                <w:szCs w:val="24"/>
                <w:lang w:bidi="ar"/>
              </w:rPr>
            </w:pPr>
          </w:p>
          <w:p w:rsidR="008768CC" w:rsidRDefault="008768CC" w:rsidP="00293A0E">
            <w:pPr>
              <w:widowControl w:val="0"/>
              <w:spacing w:after="120" w:line="240" w:lineRule="auto"/>
              <w:ind w:firstLineChars="0" w:firstLine="0"/>
              <w:rPr>
                <w:rFonts w:ascii="宋体" w:eastAsia="宋体" w:hAnsi="宋体"/>
                <w:sz w:val="24"/>
                <w:szCs w:val="24"/>
                <w:lang w:bidi="ar"/>
              </w:rPr>
            </w:pPr>
          </w:p>
          <w:p w:rsidR="008768CC" w:rsidRDefault="008768CC" w:rsidP="00293A0E">
            <w:pPr>
              <w:widowControl w:val="0"/>
              <w:spacing w:after="120" w:line="240" w:lineRule="auto"/>
              <w:ind w:firstLineChars="0" w:firstLine="0"/>
              <w:rPr>
                <w:rFonts w:ascii="宋体" w:eastAsia="宋体" w:hAnsi="宋体"/>
                <w:sz w:val="24"/>
                <w:szCs w:val="24"/>
                <w:lang w:bidi="ar"/>
              </w:rPr>
            </w:pPr>
          </w:p>
        </w:tc>
        <w:tc>
          <w:tcPr>
            <w:tcW w:w="1006"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无</w:t>
            </w:r>
          </w:p>
        </w:tc>
        <w:tc>
          <w:tcPr>
            <w:tcW w:w="1123"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全体股东</w:t>
            </w:r>
          </w:p>
        </w:tc>
      </w:tr>
      <w:tr w:rsidR="008768CC" w:rsidTr="00293A0E">
        <w:trPr>
          <w:cantSplit/>
          <w:trHeight w:val="500"/>
          <w:jc w:val="center"/>
        </w:trPr>
        <w:tc>
          <w:tcPr>
            <w:tcW w:w="1006" w:type="dxa"/>
            <w:vMerge w:val="restart"/>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3</w:t>
            </w:r>
          </w:p>
        </w:tc>
        <w:tc>
          <w:tcPr>
            <w:tcW w:w="1018" w:type="dxa"/>
            <w:vMerge w:val="restart"/>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信宜江东电器科技有限公司</w:t>
            </w:r>
          </w:p>
        </w:tc>
        <w:tc>
          <w:tcPr>
            <w:tcW w:w="806" w:type="dxa"/>
            <w:vMerge w:val="restart"/>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持股</w:t>
            </w:r>
            <w:r>
              <w:rPr>
                <w:rFonts w:asciiTheme="minorEastAsia" w:eastAsiaTheme="minorEastAsia" w:hAnsiTheme="minorEastAsia" w:cs="宋体"/>
                <w:sz w:val="24"/>
                <w:szCs w:val="24"/>
              </w:rPr>
              <w:t>5%以上</w:t>
            </w:r>
          </w:p>
        </w:tc>
        <w:tc>
          <w:tcPr>
            <w:tcW w:w="1206" w:type="dxa"/>
            <w:vMerge w:val="restart"/>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阮覃伟</w:t>
            </w:r>
          </w:p>
        </w:tc>
        <w:tc>
          <w:tcPr>
            <w:tcW w:w="1031" w:type="dxa"/>
            <w:vMerge w:val="restart"/>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阮保清</w:t>
            </w:r>
          </w:p>
        </w:tc>
        <w:tc>
          <w:tcPr>
            <w:tcW w:w="1696" w:type="dxa"/>
            <w:vMerge w:val="restart"/>
            <w:vAlign w:val="center"/>
          </w:tcPr>
          <w:p w:rsidR="008768CC" w:rsidRDefault="008768CC" w:rsidP="00293A0E">
            <w:pPr>
              <w:spacing w:line="500" w:lineRule="exact"/>
              <w:ind w:firstLineChars="0" w:firstLine="0"/>
              <w:rPr>
                <w:rFonts w:asciiTheme="minorEastAsia" w:eastAsiaTheme="minorEastAsia" w:hAnsiTheme="minorEastAsia" w:cs="宋体"/>
                <w:sz w:val="24"/>
                <w:szCs w:val="24"/>
                <w:lang w:bidi="ar"/>
              </w:rPr>
            </w:pPr>
          </w:p>
          <w:p w:rsidR="008768CC" w:rsidRDefault="008768CC" w:rsidP="00293A0E">
            <w:pPr>
              <w:spacing w:line="500" w:lineRule="exact"/>
              <w:ind w:firstLineChars="0" w:firstLine="0"/>
              <w:rPr>
                <w:rFonts w:asciiTheme="minorEastAsia" w:eastAsiaTheme="minorEastAsia" w:hAnsiTheme="minorEastAsia" w:cs="宋体"/>
                <w:sz w:val="24"/>
                <w:szCs w:val="24"/>
                <w:lang w:bidi="ar"/>
              </w:rPr>
            </w:pPr>
          </w:p>
          <w:p w:rsidR="008768CC" w:rsidRDefault="008768CC" w:rsidP="00293A0E">
            <w:pPr>
              <w:spacing w:line="500" w:lineRule="exact"/>
              <w:ind w:firstLineChars="0" w:firstLine="0"/>
              <w:rPr>
                <w:rFonts w:asciiTheme="minorEastAsia" w:eastAsiaTheme="minorEastAsia" w:hAnsiTheme="minorEastAsia" w:cs="宋体"/>
                <w:sz w:val="24"/>
                <w:szCs w:val="24"/>
                <w:lang w:bidi="ar"/>
              </w:rPr>
            </w:pPr>
          </w:p>
          <w:p w:rsidR="008768CC" w:rsidRDefault="008768CC" w:rsidP="00293A0E">
            <w:pPr>
              <w:spacing w:line="500" w:lineRule="exact"/>
              <w:ind w:firstLineChars="0" w:firstLine="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bidi="ar"/>
              </w:rPr>
              <w:t>信宜市江东电热感温器厂有限公司、信宜江东电子有限公司、信宜江东房地产有限公司、信宜福海旅游发展有限公司、信宜市福海酒店有限公司、深圳市</w:t>
            </w:r>
            <w:proofErr w:type="gramStart"/>
            <w:r>
              <w:rPr>
                <w:rFonts w:asciiTheme="minorEastAsia" w:eastAsiaTheme="minorEastAsia" w:hAnsiTheme="minorEastAsia" w:cs="宋体" w:hint="eastAsia"/>
                <w:sz w:val="24"/>
                <w:szCs w:val="24"/>
                <w:lang w:bidi="ar"/>
              </w:rPr>
              <w:t>江东熙乔装饰</w:t>
            </w:r>
            <w:proofErr w:type="gramEnd"/>
            <w:r>
              <w:rPr>
                <w:rFonts w:asciiTheme="minorEastAsia" w:eastAsiaTheme="minorEastAsia" w:hAnsiTheme="minorEastAsia" w:cs="宋体" w:hint="eastAsia"/>
                <w:sz w:val="24"/>
                <w:szCs w:val="24"/>
                <w:lang w:bidi="ar"/>
              </w:rPr>
              <w:t>工程有限公司、阮覃伟、</w:t>
            </w:r>
            <w:proofErr w:type="gramStart"/>
            <w:r>
              <w:rPr>
                <w:rFonts w:asciiTheme="minorEastAsia" w:eastAsiaTheme="minorEastAsia" w:hAnsiTheme="minorEastAsia" w:cs="宋体" w:hint="eastAsia"/>
                <w:sz w:val="24"/>
                <w:szCs w:val="24"/>
                <w:lang w:bidi="ar"/>
              </w:rPr>
              <w:t>覃</w:t>
            </w:r>
            <w:proofErr w:type="gramEnd"/>
            <w:r>
              <w:rPr>
                <w:rFonts w:asciiTheme="minorEastAsia" w:eastAsiaTheme="minorEastAsia" w:hAnsiTheme="minorEastAsia" w:cs="宋体" w:hint="eastAsia"/>
                <w:sz w:val="24"/>
                <w:szCs w:val="24"/>
                <w:lang w:bidi="ar"/>
              </w:rPr>
              <w:t>路路、阮保清、覃丽、阮茜茜、阮姗姗、方晓敏等13个关联方</w:t>
            </w:r>
          </w:p>
        </w:tc>
        <w:tc>
          <w:tcPr>
            <w:tcW w:w="1006" w:type="dxa"/>
            <w:vMerge w:val="restart"/>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无</w:t>
            </w:r>
          </w:p>
        </w:tc>
        <w:tc>
          <w:tcPr>
            <w:tcW w:w="1123" w:type="dxa"/>
            <w:vMerge w:val="restart"/>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阮保清</w:t>
            </w:r>
          </w:p>
        </w:tc>
      </w:tr>
      <w:tr w:rsidR="008768CC" w:rsidTr="00293A0E">
        <w:trPr>
          <w:cantSplit/>
          <w:trHeight w:val="500"/>
          <w:jc w:val="center"/>
        </w:trPr>
        <w:tc>
          <w:tcPr>
            <w:tcW w:w="1006" w:type="dxa"/>
            <w:vMerge/>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tc>
        <w:tc>
          <w:tcPr>
            <w:tcW w:w="1018" w:type="dxa"/>
            <w:vMerge/>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tc>
        <w:tc>
          <w:tcPr>
            <w:tcW w:w="806" w:type="dxa"/>
            <w:vMerge/>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tc>
        <w:tc>
          <w:tcPr>
            <w:tcW w:w="1206" w:type="dxa"/>
            <w:vMerge/>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tc>
        <w:tc>
          <w:tcPr>
            <w:tcW w:w="1031" w:type="dxa"/>
            <w:vMerge/>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tc>
        <w:tc>
          <w:tcPr>
            <w:tcW w:w="1696" w:type="dxa"/>
            <w:vMerge/>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tc>
        <w:tc>
          <w:tcPr>
            <w:tcW w:w="1006" w:type="dxa"/>
            <w:vMerge/>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tc>
        <w:tc>
          <w:tcPr>
            <w:tcW w:w="1123" w:type="dxa"/>
            <w:vMerge/>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p>
        </w:tc>
      </w:tr>
      <w:tr w:rsidR="008768CC" w:rsidTr="00293A0E">
        <w:trPr>
          <w:cantSplit/>
          <w:trHeight w:val="11585"/>
          <w:jc w:val="center"/>
        </w:trPr>
        <w:tc>
          <w:tcPr>
            <w:tcW w:w="1006" w:type="dxa"/>
            <w:noWrap/>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4</w:t>
            </w:r>
          </w:p>
        </w:tc>
        <w:tc>
          <w:tcPr>
            <w:tcW w:w="1018"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茂名</w:t>
            </w:r>
            <w:proofErr w:type="gramStart"/>
            <w:r>
              <w:rPr>
                <w:rFonts w:asciiTheme="minorEastAsia" w:eastAsiaTheme="minorEastAsia" w:hAnsiTheme="minorEastAsia" w:cs="宋体" w:hint="eastAsia"/>
                <w:sz w:val="24"/>
                <w:szCs w:val="24"/>
              </w:rPr>
              <w:t>市兴盈不锈钢</w:t>
            </w:r>
            <w:proofErr w:type="gramEnd"/>
            <w:r>
              <w:rPr>
                <w:rFonts w:asciiTheme="minorEastAsia" w:eastAsiaTheme="minorEastAsia" w:hAnsiTheme="minorEastAsia" w:cs="宋体" w:hint="eastAsia"/>
                <w:sz w:val="24"/>
                <w:szCs w:val="24"/>
              </w:rPr>
              <w:t>发展有限公司</w:t>
            </w:r>
          </w:p>
        </w:tc>
        <w:tc>
          <w:tcPr>
            <w:tcW w:w="806"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持股</w:t>
            </w:r>
            <w:r>
              <w:rPr>
                <w:rFonts w:asciiTheme="minorEastAsia" w:eastAsiaTheme="minorEastAsia" w:hAnsiTheme="minorEastAsia" w:cs="宋体"/>
                <w:sz w:val="24"/>
                <w:szCs w:val="24"/>
              </w:rPr>
              <w:t>5%以上</w:t>
            </w:r>
            <w:r>
              <w:rPr>
                <w:rFonts w:asciiTheme="minorEastAsia" w:eastAsiaTheme="minorEastAsia" w:hAnsiTheme="minorEastAsia" w:cs="宋体" w:hint="eastAsia"/>
                <w:sz w:val="24"/>
                <w:szCs w:val="24"/>
              </w:rPr>
              <w:t>，派驻江伟韬监事</w:t>
            </w:r>
          </w:p>
        </w:tc>
        <w:tc>
          <w:tcPr>
            <w:tcW w:w="1206"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江伟韬</w:t>
            </w:r>
          </w:p>
        </w:tc>
        <w:tc>
          <w:tcPr>
            <w:tcW w:w="1031"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江伟韬</w:t>
            </w:r>
          </w:p>
        </w:tc>
        <w:tc>
          <w:tcPr>
            <w:tcW w:w="1696" w:type="dxa"/>
            <w:vAlign w:val="center"/>
          </w:tcPr>
          <w:p w:rsidR="008768CC" w:rsidRDefault="008768CC" w:rsidP="00293A0E">
            <w:pPr>
              <w:spacing w:line="460" w:lineRule="exact"/>
              <w:ind w:firstLineChars="0" w:firstLine="0"/>
              <w:rPr>
                <w:rFonts w:asciiTheme="minorEastAsia" w:eastAsiaTheme="minorEastAsia" w:hAnsiTheme="minorEastAsia" w:cs="宋体"/>
                <w:sz w:val="16"/>
                <w:szCs w:val="16"/>
              </w:rPr>
            </w:pPr>
            <w:r>
              <w:rPr>
                <w:rFonts w:asciiTheme="minorEastAsia" w:eastAsiaTheme="minorEastAsia" w:hAnsiTheme="minorEastAsia" w:cs="宋体" w:hint="eastAsia"/>
                <w:sz w:val="16"/>
                <w:szCs w:val="16"/>
                <w:lang w:bidi="ar"/>
              </w:rPr>
              <w:t>广东兴盈不锈钢发展有限公司、信宜市白</w:t>
            </w:r>
            <w:proofErr w:type="gramStart"/>
            <w:r>
              <w:rPr>
                <w:rFonts w:asciiTheme="minorEastAsia" w:eastAsiaTheme="minorEastAsia" w:hAnsiTheme="minorEastAsia" w:cs="宋体" w:hint="eastAsia"/>
                <w:sz w:val="16"/>
                <w:szCs w:val="16"/>
                <w:lang w:bidi="ar"/>
              </w:rPr>
              <w:t>石镇众合</w:t>
            </w:r>
            <w:proofErr w:type="gramEnd"/>
            <w:r>
              <w:rPr>
                <w:rFonts w:asciiTheme="minorEastAsia" w:eastAsiaTheme="minorEastAsia" w:hAnsiTheme="minorEastAsia" w:cs="宋体" w:hint="eastAsia"/>
                <w:sz w:val="16"/>
                <w:szCs w:val="16"/>
                <w:lang w:bidi="ar"/>
              </w:rPr>
              <w:t>电站（普通合伙）、上海中鸽实业有限公司、广东艮汇农业发展有限公司、广州文</w:t>
            </w:r>
            <w:proofErr w:type="gramStart"/>
            <w:r>
              <w:rPr>
                <w:rFonts w:asciiTheme="minorEastAsia" w:eastAsiaTheme="minorEastAsia" w:hAnsiTheme="minorEastAsia" w:cs="宋体" w:hint="eastAsia"/>
                <w:sz w:val="16"/>
                <w:szCs w:val="16"/>
                <w:lang w:bidi="ar"/>
              </w:rPr>
              <w:t>韬</w:t>
            </w:r>
            <w:proofErr w:type="gramEnd"/>
            <w:r>
              <w:rPr>
                <w:rFonts w:asciiTheme="minorEastAsia" w:eastAsiaTheme="minorEastAsia" w:hAnsiTheme="minorEastAsia" w:cs="宋体" w:hint="eastAsia"/>
                <w:sz w:val="16"/>
                <w:szCs w:val="16"/>
                <w:lang w:bidi="ar"/>
              </w:rPr>
              <w:t>创举文化传播有限公司、沃丰水产（吴川）有限公司、茂名</w:t>
            </w:r>
            <w:proofErr w:type="gramStart"/>
            <w:r>
              <w:rPr>
                <w:rFonts w:asciiTheme="minorEastAsia" w:eastAsiaTheme="minorEastAsia" w:hAnsiTheme="minorEastAsia" w:cs="宋体" w:hint="eastAsia"/>
                <w:sz w:val="16"/>
                <w:szCs w:val="16"/>
                <w:lang w:bidi="ar"/>
              </w:rPr>
              <w:t>江盛铭诚</w:t>
            </w:r>
            <w:proofErr w:type="gramEnd"/>
            <w:r>
              <w:rPr>
                <w:rFonts w:asciiTheme="minorEastAsia" w:eastAsiaTheme="minorEastAsia" w:hAnsiTheme="minorEastAsia" w:cs="宋体" w:hint="eastAsia"/>
                <w:sz w:val="16"/>
                <w:szCs w:val="16"/>
                <w:lang w:bidi="ar"/>
              </w:rPr>
              <w:t>企业管理咨询有限责任公司、广东捷沃新能源科技有限公司、深圳市谈校风</w:t>
            </w:r>
            <w:proofErr w:type="gramStart"/>
            <w:r>
              <w:rPr>
                <w:rFonts w:asciiTheme="minorEastAsia" w:eastAsiaTheme="minorEastAsia" w:hAnsiTheme="minorEastAsia" w:cs="宋体" w:hint="eastAsia"/>
                <w:sz w:val="16"/>
                <w:szCs w:val="16"/>
                <w:lang w:bidi="ar"/>
              </w:rPr>
              <w:t>生教育</w:t>
            </w:r>
            <w:proofErr w:type="gramEnd"/>
            <w:r>
              <w:rPr>
                <w:rFonts w:asciiTheme="minorEastAsia" w:eastAsiaTheme="minorEastAsia" w:hAnsiTheme="minorEastAsia" w:cs="宋体" w:hint="eastAsia"/>
                <w:sz w:val="16"/>
                <w:szCs w:val="16"/>
                <w:lang w:bidi="ar"/>
              </w:rPr>
              <w:t>科技有限公司、茂名</w:t>
            </w:r>
            <w:proofErr w:type="gramStart"/>
            <w:r>
              <w:rPr>
                <w:rFonts w:asciiTheme="minorEastAsia" w:eastAsiaTheme="minorEastAsia" w:hAnsiTheme="minorEastAsia" w:cs="宋体" w:hint="eastAsia"/>
                <w:sz w:val="16"/>
                <w:szCs w:val="16"/>
                <w:lang w:bidi="ar"/>
              </w:rPr>
              <w:t>市实宇</w:t>
            </w:r>
            <w:proofErr w:type="gramEnd"/>
            <w:r>
              <w:rPr>
                <w:rFonts w:asciiTheme="minorEastAsia" w:eastAsiaTheme="minorEastAsia" w:hAnsiTheme="minorEastAsia" w:cs="宋体" w:hint="eastAsia"/>
                <w:sz w:val="16"/>
                <w:szCs w:val="16"/>
                <w:lang w:bidi="ar"/>
              </w:rPr>
              <w:t>茶业有限公司、</w:t>
            </w:r>
            <w:proofErr w:type="gramStart"/>
            <w:r>
              <w:rPr>
                <w:rFonts w:asciiTheme="minorEastAsia" w:eastAsiaTheme="minorEastAsia" w:hAnsiTheme="minorEastAsia" w:cs="宋体" w:hint="eastAsia"/>
                <w:sz w:val="16"/>
                <w:szCs w:val="16"/>
                <w:lang w:bidi="ar"/>
              </w:rPr>
              <w:t>默初投资</w:t>
            </w:r>
            <w:proofErr w:type="gramEnd"/>
            <w:r>
              <w:rPr>
                <w:rFonts w:asciiTheme="minorEastAsia" w:eastAsiaTheme="minorEastAsia" w:hAnsiTheme="minorEastAsia" w:cs="宋体" w:hint="eastAsia"/>
                <w:sz w:val="16"/>
                <w:szCs w:val="16"/>
                <w:lang w:bidi="ar"/>
              </w:rPr>
              <w:t>（广州）合伙企业（有限合伙）、茂名</w:t>
            </w:r>
            <w:proofErr w:type="gramStart"/>
            <w:r>
              <w:rPr>
                <w:rFonts w:asciiTheme="minorEastAsia" w:eastAsiaTheme="minorEastAsia" w:hAnsiTheme="minorEastAsia" w:cs="宋体" w:hint="eastAsia"/>
                <w:sz w:val="16"/>
                <w:szCs w:val="16"/>
                <w:lang w:bidi="ar"/>
              </w:rPr>
              <w:t>市布易班餐饮</w:t>
            </w:r>
            <w:proofErr w:type="gramEnd"/>
            <w:r>
              <w:rPr>
                <w:rFonts w:asciiTheme="minorEastAsia" w:eastAsiaTheme="minorEastAsia" w:hAnsiTheme="minorEastAsia" w:cs="宋体" w:hint="eastAsia"/>
                <w:sz w:val="16"/>
                <w:szCs w:val="16"/>
                <w:lang w:bidi="ar"/>
              </w:rPr>
              <w:t>有限公司、江伟韬、江伟昊、江伟峰、江泳深、陈楚欣、梁晖、江泳洲等20个关联方</w:t>
            </w:r>
          </w:p>
        </w:tc>
        <w:tc>
          <w:tcPr>
            <w:tcW w:w="1006"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无</w:t>
            </w:r>
          </w:p>
        </w:tc>
        <w:tc>
          <w:tcPr>
            <w:tcW w:w="1123" w:type="dxa"/>
            <w:vAlign w:val="center"/>
          </w:tcPr>
          <w:p w:rsidR="008768CC" w:rsidRDefault="008768CC" w:rsidP="00293A0E">
            <w:pPr>
              <w:spacing w:line="500" w:lineRule="exact"/>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bidi="ar"/>
              </w:rPr>
              <w:t>江伟韬、江伟昊、江伟峰</w:t>
            </w:r>
          </w:p>
        </w:tc>
      </w:tr>
    </w:tbl>
    <w:p w:rsidR="008768CC" w:rsidRDefault="008768CC" w:rsidP="008768CC">
      <w:pPr>
        <w:spacing w:line="50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备注：根据《商业银行股权管理暂行办法》（中国银行业监督管理委员会令</w:t>
      </w:r>
      <w:r>
        <w:rPr>
          <w:rFonts w:asciiTheme="minorEastAsia" w:eastAsiaTheme="minorEastAsia" w:hAnsiTheme="minorEastAsia"/>
          <w:sz w:val="21"/>
          <w:szCs w:val="21"/>
        </w:rPr>
        <w:t>2018年第1号）相关规定，本行主要股东包括持有本行百分之五以上股份或表决权，或向本行派驻董事、监事或高级管理人员，对本行经营管理有重大影响的股东。</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9.3股权质押情况</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截至报告期末，本行已办理股权质押股东共有10户，均为非主要股东出质，质押股权合计2,052.82万股，占总股本的3.35%。其中自然人股东9户，质押股权合计1,032.82万股，占总股本1.68%；法人股东1户，质押股权合计1020.00万股，占总股本1.67%。已质押股权均未涉及司法冻结或拍卖，股权质押所担保的贷款均能正常还本付息，股权质押风险可控。</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9.4关联交易情况</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9.4.1关联交易情况简介</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本行的关联交易严格遵守《银行保险机构关联交易管理办法》等一系列外部监管规定，以及《章程》《关联交易管理办法》等各项行内管理规章，遵循诚实信用、公开公允、穿透识别、结构清晰的原则。</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对于关联交易，本行实行董事会、关联交易控制委员会、高级管理层分级管理，监事会依法依规监督的体制，</w:t>
      </w:r>
      <w:r>
        <w:rPr>
          <w:rFonts w:asciiTheme="minorEastAsia" w:eastAsiaTheme="minorEastAsia" w:hAnsiTheme="minorEastAsia" w:cs="宋体" w:hint="eastAsia"/>
          <w:kern w:val="0"/>
          <w:sz w:val="24"/>
          <w:szCs w:val="24"/>
        </w:rPr>
        <w:t>设立跨部门的关联交易管理办公室，并明确董事会办公室为牵头部门、设置专岗，负责关联方识别维护、关联交易管理等日常事务。本行</w:t>
      </w:r>
      <w:r>
        <w:rPr>
          <w:rFonts w:asciiTheme="minorEastAsia" w:eastAsiaTheme="minorEastAsia" w:hAnsiTheme="minorEastAsia" w:hint="eastAsia"/>
          <w:sz w:val="24"/>
          <w:szCs w:val="24"/>
        </w:rPr>
        <w:t>严格履行关联交易审批程序，并及时披露关联交易情况。本行董事会下设关联交易控制委员会，</w:t>
      </w:r>
      <w:r>
        <w:rPr>
          <w:rFonts w:asciiTheme="minorEastAsia" w:eastAsiaTheme="minorEastAsia" w:hAnsiTheme="minorEastAsia" w:cs="宋体" w:hint="eastAsia"/>
          <w:kern w:val="0"/>
          <w:sz w:val="24"/>
          <w:szCs w:val="24"/>
        </w:rPr>
        <w:t>负责关联交易管理、审查和风险控制。本行重大关联交易经由关联交易控制委员会审查后，提交董事会批准。</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9.4.2重大关联交易情况</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根据国家金融监督管理总局及本行对关联交易的认定范围，报告期末，本行共审批或报备关联交易35笔，其中重大关联交易6笔（</w:t>
      </w:r>
      <w:proofErr w:type="gramStart"/>
      <w:r>
        <w:rPr>
          <w:rFonts w:asciiTheme="minorEastAsia" w:eastAsiaTheme="minorEastAsia" w:hAnsiTheme="minorEastAsia" w:hint="eastAsia"/>
          <w:sz w:val="24"/>
          <w:szCs w:val="24"/>
        </w:rPr>
        <w:t>授信类6笔</w:t>
      </w:r>
      <w:proofErr w:type="gramEnd"/>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非授信类</w:t>
      </w:r>
      <w:proofErr w:type="gramEnd"/>
      <w:r>
        <w:rPr>
          <w:rFonts w:asciiTheme="minorEastAsia" w:eastAsiaTheme="minorEastAsia" w:hAnsiTheme="minorEastAsia" w:hint="eastAsia"/>
          <w:sz w:val="24"/>
          <w:szCs w:val="24"/>
        </w:rPr>
        <w:t>0笔），一般关联交易29笔（</w:t>
      </w:r>
      <w:proofErr w:type="gramStart"/>
      <w:r>
        <w:rPr>
          <w:rFonts w:asciiTheme="minorEastAsia" w:eastAsiaTheme="minorEastAsia" w:hAnsiTheme="minorEastAsia" w:hint="eastAsia"/>
          <w:sz w:val="24"/>
          <w:szCs w:val="24"/>
        </w:rPr>
        <w:t>授信类13笔</w:t>
      </w:r>
      <w:proofErr w:type="gramEnd"/>
      <w:r>
        <w:rPr>
          <w:rFonts w:asciiTheme="minorEastAsia" w:eastAsiaTheme="minorEastAsia" w:hAnsiTheme="minorEastAsia" w:hint="eastAsia"/>
          <w:sz w:val="24"/>
          <w:szCs w:val="24"/>
        </w:rPr>
        <w:t>，资产转移类0笔，服务类11笔，存款和其他类型5笔）。本年度审批完成的关联交易符合有关法律、法规、规章及监管制度的相关规定，不存在损害本行及股东利益的情况。报告期内发生的重大关联交易情况如下：</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p>
    <w:tbl>
      <w:tblPr>
        <w:tblW w:w="4998" w:type="pct"/>
        <w:tblLook w:val="04A0" w:firstRow="1" w:lastRow="0" w:firstColumn="1" w:lastColumn="0" w:noHBand="0" w:noVBand="1"/>
      </w:tblPr>
      <w:tblGrid>
        <w:gridCol w:w="2378"/>
        <w:gridCol w:w="3253"/>
        <w:gridCol w:w="1504"/>
        <w:gridCol w:w="1978"/>
      </w:tblGrid>
      <w:tr w:rsidR="008768CC" w:rsidTr="00293A0E">
        <w:trPr>
          <w:trHeight w:val="740"/>
        </w:trPr>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kern w:val="0"/>
                <w:sz w:val="24"/>
                <w:szCs w:val="24"/>
                <w:lang w:bidi="ar"/>
              </w:rPr>
              <w:lastRenderedPageBreak/>
              <w:t>关联方</w:t>
            </w:r>
          </w:p>
        </w:tc>
        <w:tc>
          <w:tcPr>
            <w:tcW w:w="1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kern w:val="0"/>
                <w:sz w:val="24"/>
                <w:szCs w:val="24"/>
                <w:lang w:bidi="ar"/>
              </w:rPr>
              <w:t>关联关系简要描述</w:t>
            </w:r>
          </w:p>
        </w:tc>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kern w:val="0"/>
                <w:sz w:val="24"/>
                <w:szCs w:val="24"/>
                <w:lang w:bidi="ar"/>
              </w:rPr>
              <w:t>2023年贷款审批金额</w:t>
            </w:r>
          </w:p>
        </w:tc>
        <w:tc>
          <w:tcPr>
            <w:tcW w:w="10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kern w:val="0"/>
                <w:sz w:val="24"/>
                <w:szCs w:val="24"/>
                <w:lang w:bidi="ar"/>
              </w:rPr>
              <w:t>2023年审批时占资本净额比例</w:t>
            </w:r>
          </w:p>
        </w:tc>
      </w:tr>
      <w:tr w:rsidR="008768CC" w:rsidTr="00293A0E">
        <w:trPr>
          <w:trHeight w:val="270"/>
        </w:trPr>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茂名市富地海产品有限公司</w:t>
            </w:r>
          </w:p>
        </w:tc>
        <w:tc>
          <w:tcPr>
            <w:tcW w:w="1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本行主要股东鸿</w:t>
            </w:r>
            <w:proofErr w:type="gramStart"/>
            <w:r>
              <w:rPr>
                <w:rFonts w:asciiTheme="minorEastAsia" w:eastAsiaTheme="minorEastAsia" w:hAnsiTheme="minorEastAsia" w:cs="宋体" w:hint="eastAsia"/>
                <w:color w:val="000000"/>
                <w:kern w:val="0"/>
                <w:sz w:val="24"/>
                <w:szCs w:val="24"/>
                <w:lang w:bidi="ar"/>
              </w:rPr>
              <w:t>霖</w:t>
            </w:r>
            <w:proofErr w:type="gramEnd"/>
            <w:r>
              <w:rPr>
                <w:rFonts w:asciiTheme="minorEastAsia" w:eastAsiaTheme="minorEastAsia" w:hAnsiTheme="minorEastAsia" w:cs="宋体" w:hint="eastAsia"/>
                <w:color w:val="000000"/>
                <w:kern w:val="0"/>
                <w:sz w:val="24"/>
                <w:szCs w:val="24"/>
                <w:lang w:bidi="ar"/>
              </w:rPr>
              <w:t>股份有限公司关联方</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1,860万元</w:t>
            </w:r>
          </w:p>
        </w:tc>
        <w:tc>
          <w:tcPr>
            <w:tcW w:w="10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0.92%</w:t>
            </w:r>
          </w:p>
        </w:tc>
      </w:tr>
      <w:tr w:rsidR="008768CC" w:rsidTr="00293A0E">
        <w:trPr>
          <w:trHeight w:val="270"/>
        </w:trPr>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茂名市海盛海产品有限公司</w:t>
            </w:r>
          </w:p>
        </w:tc>
        <w:tc>
          <w:tcPr>
            <w:tcW w:w="1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本行主要股东鸿</w:t>
            </w:r>
            <w:proofErr w:type="gramStart"/>
            <w:r>
              <w:rPr>
                <w:rFonts w:asciiTheme="minorEastAsia" w:eastAsiaTheme="minorEastAsia" w:hAnsiTheme="minorEastAsia" w:cs="宋体" w:hint="eastAsia"/>
                <w:color w:val="000000"/>
                <w:kern w:val="0"/>
                <w:sz w:val="24"/>
                <w:szCs w:val="24"/>
                <w:lang w:bidi="ar"/>
              </w:rPr>
              <w:t>霖</w:t>
            </w:r>
            <w:proofErr w:type="gramEnd"/>
            <w:r>
              <w:rPr>
                <w:rFonts w:asciiTheme="minorEastAsia" w:eastAsiaTheme="minorEastAsia" w:hAnsiTheme="minorEastAsia" w:cs="宋体" w:hint="eastAsia"/>
                <w:color w:val="000000"/>
                <w:kern w:val="0"/>
                <w:sz w:val="24"/>
                <w:szCs w:val="24"/>
                <w:lang w:bidi="ar"/>
              </w:rPr>
              <w:t>股份有限公司关联方</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680万元</w:t>
            </w:r>
          </w:p>
        </w:tc>
        <w:tc>
          <w:tcPr>
            <w:tcW w:w="10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0.34%</w:t>
            </w:r>
          </w:p>
        </w:tc>
      </w:tr>
      <w:tr w:rsidR="008768CC" w:rsidTr="00293A0E">
        <w:trPr>
          <w:trHeight w:val="270"/>
        </w:trPr>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茂名市农富农副产品有限公司</w:t>
            </w:r>
          </w:p>
        </w:tc>
        <w:tc>
          <w:tcPr>
            <w:tcW w:w="1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本行主要股东鸿</w:t>
            </w:r>
            <w:proofErr w:type="gramStart"/>
            <w:r>
              <w:rPr>
                <w:rFonts w:asciiTheme="minorEastAsia" w:eastAsiaTheme="minorEastAsia" w:hAnsiTheme="minorEastAsia" w:cs="宋体" w:hint="eastAsia"/>
                <w:color w:val="000000"/>
                <w:kern w:val="0"/>
                <w:sz w:val="24"/>
                <w:szCs w:val="24"/>
                <w:lang w:bidi="ar"/>
              </w:rPr>
              <w:t>霖</w:t>
            </w:r>
            <w:proofErr w:type="gramEnd"/>
            <w:r>
              <w:rPr>
                <w:rFonts w:asciiTheme="minorEastAsia" w:eastAsiaTheme="minorEastAsia" w:hAnsiTheme="minorEastAsia" w:cs="宋体" w:hint="eastAsia"/>
                <w:color w:val="000000"/>
                <w:kern w:val="0"/>
                <w:sz w:val="24"/>
                <w:szCs w:val="24"/>
                <w:lang w:bidi="ar"/>
              </w:rPr>
              <w:t>股份有限公司关联方</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680万元</w:t>
            </w:r>
          </w:p>
        </w:tc>
        <w:tc>
          <w:tcPr>
            <w:tcW w:w="10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0.34%</w:t>
            </w:r>
          </w:p>
        </w:tc>
      </w:tr>
      <w:tr w:rsidR="008768CC" w:rsidTr="00293A0E">
        <w:trPr>
          <w:trHeight w:val="540"/>
        </w:trPr>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信宜市江东电热感温器厂有限公司</w:t>
            </w:r>
          </w:p>
        </w:tc>
        <w:tc>
          <w:tcPr>
            <w:tcW w:w="1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本行主要股东信宜江东电器科技有限公司关联方</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2,800万元</w:t>
            </w: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1.33%</w:t>
            </w:r>
          </w:p>
        </w:tc>
      </w:tr>
      <w:tr w:rsidR="008768CC" w:rsidTr="00293A0E">
        <w:trPr>
          <w:trHeight w:val="540"/>
        </w:trPr>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信宜江东电子有限公司</w:t>
            </w:r>
          </w:p>
        </w:tc>
        <w:tc>
          <w:tcPr>
            <w:tcW w:w="1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本行主要股东信宜江东电器科技有限公司关联方</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1,450万元</w:t>
            </w: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0.69%</w:t>
            </w:r>
          </w:p>
        </w:tc>
      </w:tr>
      <w:tr w:rsidR="008768CC" w:rsidTr="00293A0E">
        <w:trPr>
          <w:trHeight w:val="270"/>
        </w:trPr>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信宜江东电器科技有限公司</w:t>
            </w:r>
          </w:p>
        </w:tc>
        <w:tc>
          <w:tcPr>
            <w:tcW w:w="1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本行主要股东</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2,500万元</w:t>
            </w: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CC" w:rsidRDefault="008768CC" w:rsidP="00293A0E">
            <w:pPr>
              <w:spacing w:line="500" w:lineRule="exact"/>
              <w:ind w:firstLineChars="0" w:firstLine="0"/>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1.19%</w:t>
            </w:r>
          </w:p>
        </w:tc>
      </w:tr>
    </w:tbl>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3.关联交易授信余额控制情况</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截至报告期末，本行资本净额为209826.68万元，全部</w:t>
      </w:r>
      <w:proofErr w:type="gramStart"/>
      <w:r>
        <w:rPr>
          <w:rFonts w:asciiTheme="minorEastAsia" w:eastAsiaTheme="minorEastAsia" w:hAnsiTheme="minorEastAsia" w:hint="eastAsia"/>
          <w:sz w:val="24"/>
          <w:szCs w:val="24"/>
        </w:rPr>
        <w:t>关联方授信</w:t>
      </w:r>
      <w:proofErr w:type="gramEnd"/>
      <w:r>
        <w:rPr>
          <w:rFonts w:asciiTheme="minorEastAsia" w:eastAsiaTheme="minorEastAsia" w:hAnsiTheme="minorEastAsia" w:hint="eastAsia"/>
          <w:sz w:val="24"/>
          <w:szCs w:val="24"/>
        </w:rPr>
        <w:t>余额为11,304.82万元，占资本净额比例为5.39%，未超过资本净额的50%；对单个关联</w:t>
      </w:r>
      <w:proofErr w:type="gramStart"/>
      <w:r>
        <w:rPr>
          <w:rFonts w:asciiTheme="minorEastAsia" w:eastAsiaTheme="minorEastAsia" w:hAnsiTheme="minorEastAsia" w:hint="eastAsia"/>
          <w:sz w:val="24"/>
          <w:szCs w:val="24"/>
        </w:rPr>
        <w:t>方最高授</w:t>
      </w:r>
      <w:proofErr w:type="gramEnd"/>
      <w:r>
        <w:rPr>
          <w:rFonts w:asciiTheme="minorEastAsia" w:eastAsiaTheme="minorEastAsia" w:hAnsiTheme="minorEastAsia" w:hint="eastAsia"/>
          <w:sz w:val="24"/>
          <w:szCs w:val="24"/>
        </w:rPr>
        <w:t>信余额为3,450万元，占资本净额的1.64%，未超过资本净额的10%，对单个关联法人所在集团的最高授信余额为9,470万元，占资本净额4.51%，未超过资本净额的15%；全部指标符合监管规定。</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9.4.3关联交易不良贷款余额</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截至报告期末，本行关联交易中不良贷款余额0万元。</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lastRenderedPageBreak/>
        <w:t>10．董事、监事、高级管理层和员工情况</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10.1董事、监事、高级管理层情况</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10.1.1董事</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757"/>
        <w:gridCol w:w="1257"/>
        <w:gridCol w:w="1322"/>
        <w:gridCol w:w="1670"/>
        <w:gridCol w:w="1363"/>
        <w:gridCol w:w="1363"/>
      </w:tblGrid>
      <w:tr w:rsidR="008768CC" w:rsidTr="00293A0E">
        <w:trPr>
          <w:trHeight w:val="20"/>
        </w:trPr>
        <w:tc>
          <w:tcPr>
            <w:tcW w:w="757"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姓名</w:t>
            </w:r>
          </w:p>
        </w:tc>
        <w:tc>
          <w:tcPr>
            <w:tcW w:w="4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性别</w:t>
            </w:r>
          </w:p>
        </w:tc>
        <w:tc>
          <w:tcPr>
            <w:tcW w:w="689"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出生年份</w:t>
            </w:r>
          </w:p>
        </w:tc>
        <w:tc>
          <w:tcPr>
            <w:tcW w:w="72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任职时间</w:t>
            </w:r>
          </w:p>
        </w:tc>
        <w:tc>
          <w:tcPr>
            <w:tcW w:w="9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职务</w:t>
            </w:r>
          </w:p>
        </w:tc>
        <w:tc>
          <w:tcPr>
            <w:tcW w:w="748"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领取薪酬</w:t>
            </w:r>
          </w:p>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74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持股数</w:t>
            </w:r>
            <w:r>
              <w:rPr>
                <w:rFonts w:asciiTheme="minorEastAsia" w:eastAsiaTheme="minorEastAsia" w:hAnsiTheme="minorEastAsia" w:cs="宋体" w:hint="eastAsia"/>
                <w:kern w:val="0"/>
                <w:sz w:val="24"/>
                <w:szCs w:val="24"/>
              </w:rPr>
              <w:br/>
              <w:t>（股）</w:t>
            </w:r>
          </w:p>
        </w:tc>
      </w:tr>
      <w:tr w:rsidR="008768CC" w:rsidTr="00293A0E">
        <w:trPr>
          <w:trHeight w:val="397"/>
        </w:trPr>
        <w:tc>
          <w:tcPr>
            <w:tcW w:w="757"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黄勇</w:t>
            </w:r>
          </w:p>
        </w:tc>
        <w:tc>
          <w:tcPr>
            <w:tcW w:w="4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男</w:t>
            </w:r>
          </w:p>
        </w:tc>
        <w:tc>
          <w:tcPr>
            <w:tcW w:w="689"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1968</w:t>
            </w:r>
          </w:p>
        </w:tc>
        <w:tc>
          <w:tcPr>
            <w:tcW w:w="72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2019.10</w:t>
            </w:r>
          </w:p>
        </w:tc>
        <w:tc>
          <w:tcPr>
            <w:tcW w:w="9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董事长</w:t>
            </w:r>
            <w:r>
              <w:rPr>
                <w:rFonts w:asciiTheme="minorEastAsia" w:eastAsiaTheme="minorEastAsia" w:hAnsiTheme="minorEastAsia" w:cs="宋体" w:hint="eastAsia"/>
                <w:kern w:val="0"/>
                <w:sz w:val="24"/>
                <w:szCs w:val="24"/>
              </w:rPr>
              <w:br/>
              <w:t>职工董事</w:t>
            </w:r>
          </w:p>
        </w:tc>
        <w:tc>
          <w:tcPr>
            <w:tcW w:w="748"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74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p>
        </w:tc>
      </w:tr>
      <w:tr w:rsidR="008768CC" w:rsidTr="00293A0E">
        <w:trPr>
          <w:trHeight w:val="397"/>
        </w:trPr>
        <w:tc>
          <w:tcPr>
            <w:tcW w:w="757"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钟剑钊</w:t>
            </w:r>
          </w:p>
        </w:tc>
        <w:tc>
          <w:tcPr>
            <w:tcW w:w="4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男</w:t>
            </w:r>
          </w:p>
        </w:tc>
        <w:tc>
          <w:tcPr>
            <w:tcW w:w="689"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1973</w:t>
            </w:r>
          </w:p>
        </w:tc>
        <w:tc>
          <w:tcPr>
            <w:tcW w:w="72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2023.06</w:t>
            </w:r>
          </w:p>
        </w:tc>
        <w:tc>
          <w:tcPr>
            <w:tcW w:w="9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职工董事</w:t>
            </w:r>
          </w:p>
        </w:tc>
        <w:tc>
          <w:tcPr>
            <w:tcW w:w="748"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74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p>
        </w:tc>
      </w:tr>
      <w:tr w:rsidR="008768CC" w:rsidTr="00293A0E">
        <w:trPr>
          <w:trHeight w:val="397"/>
        </w:trPr>
        <w:tc>
          <w:tcPr>
            <w:tcW w:w="757"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丘海莲</w:t>
            </w:r>
          </w:p>
        </w:tc>
        <w:tc>
          <w:tcPr>
            <w:tcW w:w="4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女</w:t>
            </w:r>
          </w:p>
        </w:tc>
        <w:tc>
          <w:tcPr>
            <w:tcW w:w="689"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1974</w:t>
            </w:r>
          </w:p>
        </w:tc>
        <w:tc>
          <w:tcPr>
            <w:tcW w:w="72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2017.08</w:t>
            </w:r>
          </w:p>
        </w:tc>
        <w:tc>
          <w:tcPr>
            <w:tcW w:w="9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职工董事</w:t>
            </w:r>
          </w:p>
        </w:tc>
        <w:tc>
          <w:tcPr>
            <w:tcW w:w="748"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74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279,480 </w:t>
            </w:r>
          </w:p>
        </w:tc>
      </w:tr>
      <w:tr w:rsidR="008768CC" w:rsidTr="00293A0E">
        <w:trPr>
          <w:trHeight w:val="397"/>
        </w:trPr>
        <w:tc>
          <w:tcPr>
            <w:tcW w:w="757"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俞君乾</w:t>
            </w:r>
          </w:p>
        </w:tc>
        <w:tc>
          <w:tcPr>
            <w:tcW w:w="4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男</w:t>
            </w:r>
          </w:p>
        </w:tc>
        <w:tc>
          <w:tcPr>
            <w:tcW w:w="689"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1977</w:t>
            </w:r>
          </w:p>
        </w:tc>
        <w:tc>
          <w:tcPr>
            <w:tcW w:w="72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2023.06</w:t>
            </w:r>
          </w:p>
        </w:tc>
        <w:tc>
          <w:tcPr>
            <w:tcW w:w="9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股权董事</w:t>
            </w:r>
          </w:p>
        </w:tc>
        <w:tc>
          <w:tcPr>
            <w:tcW w:w="748"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74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p>
        </w:tc>
      </w:tr>
      <w:tr w:rsidR="008768CC" w:rsidTr="00293A0E">
        <w:trPr>
          <w:trHeight w:val="397"/>
        </w:trPr>
        <w:tc>
          <w:tcPr>
            <w:tcW w:w="757"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刘才富</w:t>
            </w:r>
          </w:p>
        </w:tc>
        <w:tc>
          <w:tcPr>
            <w:tcW w:w="4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男</w:t>
            </w:r>
          </w:p>
        </w:tc>
        <w:tc>
          <w:tcPr>
            <w:tcW w:w="689"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1983</w:t>
            </w:r>
          </w:p>
        </w:tc>
        <w:tc>
          <w:tcPr>
            <w:tcW w:w="72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2023.06</w:t>
            </w:r>
          </w:p>
        </w:tc>
        <w:tc>
          <w:tcPr>
            <w:tcW w:w="9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股权董事</w:t>
            </w:r>
          </w:p>
        </w:tc>
        <w:tc>
          <w:tcPr>
            <w:tcW w:w="748"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74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p>
        </w:tc>
      </w:tr>
      <w:tr w:rsidR="008768CC" w:rsidTr="00293A0E">
        <w:trPr>
          <w:trHeight w:val="397"/>
        </w:trPr>
        <w:tc>
          <w:tcPr>
            <w:tcW w:w="757"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谢剑</w:t>
            </w:r>
          </w:p>
        </w:tc>
        <w:tc>
          <w:tcPr>
            <w:tcW w:w="4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男</w:t>
            </w:r>
          </w:p>
        </w:tc>
        <w:tc>
          <w:tcPr>
            <w:tcW w:w="689"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1985</w:t>
            </w:r>
          </w:p>
        </w:tc>
        <w:tc>
          <w:tcPr>
            <w:tcW w:w="72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2017.08</w:t>
            </w:r>
          </w:p>
        </w:tc>
        <w:tc>
          <w:tcPr>
            <w:tcW w:w="9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股权董事</w:t>
            </w:r>
          </w:p>
        </w:tc>
        <w:tc>
          <w:tcPr>
            <w:tcW w:w="748"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74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62,220</w:t>
            </w:r>
          </w:p>
        </w:tc>
      </w:tr>
      <w:tr w:rsidR="008768CC" w:rsidTr="00293A0E">
        <w:trPr>
          <w:trHeight w:val="397"/>
        </w:trPr>
        <w:tc>
          <w:tcPr>
            <w:tcW w:w="757"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陈德炎</w:t>
            </w:r>
          </w:p>
        </w:tc>
        <w:tc>
          <w:tcPr>
            <w:tcW w:w="4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男</w:t>
            </w:r>
          </w:p>
        </w:tc>
        <w:tc>
          <w:tcPr>
            <w:tcW w:w="689"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1983</w:t>
            </w:r>
          </w:p>
        </w:tc>
        <w:tc>
          <w:tcPr>
            <w:tcW w:w="72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2017.08</w:t>
            </w:r>
          </w:p>
        </w:tc>
        <w:tc>
          <w:tcPr>
            <w:tcW w:w="9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独立董事</w:t>
            </w:r>
          </w:p>
        </w:tc>
        <w:tc>
          <w:tcPr>
            <w:tcW w:w="748"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74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p>
        </w:tc>
      </w:tr>
      <w:tr w:rsidR="008768CC" w:rsidTr="00293A0E">
        <w:trPr>
          <w:trHeight w:val="397"/>
        </w:trPr>
        <w:tc>
          <w:tcPr>
            <w:tcW w:w="757"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车岳云</w:t>
            </w:r>
          </w:p>
        </w:tc>
        <w:tc>
          <w:tcPr>
            <w:tcW w:w="4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男</w:t>
            </w:r>
          </w:p>
        </w:tc>
        <w:tc>
          <w:tcPr>
            <w:tcW w:w="689"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1973</w:t>
            </w:r>
          </w:p>
        </w:tc>
        <w:tc>
          <w:tcPr>
            <w:tcW w:w="72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2022.03</w:t>
            </w:r>
          </w:p>
        </w:tc>
        <w:tc>
          <w:tcPr>
            <w:tcW w:w="9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独立董事</w:t>
            </w:r>
          </w:p>
        </w:tc>
        <w:tc>
          <w:tcPr>
            <w:tcW w:w="748"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74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p>
        </w:tc>
      </w:tr>
      <w:tr w:rsidR="008768CC" w:rsidTr="00293A0E">
        <w:trPr>
          <w:trHeight w:val="397"/>
        </w:trPr>
        <w:tc>
          <w:tcPr>
            <w:tcW w:w="757"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proofErr w:type="gramStart"/>
            <w:r>
              <w:rPr>
                <w:rFonts w:asciiTheme="minorEastAsia" w:eastAsiaTheme="minorEastAsia" w:hAnsiTheme="minorEastAsia" w:cs="宋体" w:hint="eastAsia"/>
                <w:kern w:val="0"/>
                <w:sz w:val="24"/>
                <w:szCs w:val="24"/>
              </w:rPr>
              <w:t>吴昌恒</w:t>
            </w:r>
            <w:proofErr w:type="gramEnd"/>
          </w:p>
        </w:tc>
        <w:tc>
          <w:tcPr>
            <w:tcW w:w="4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男</w:t>
            </w:r>
          </w:p>
        </w:tc>
        <w:tc>
          <w:tcPr>
            <w:tcW w:w="689"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1981</w:t>
            </w:r>
          </w:p>
        </w:tc>
        <w:tc>
          <w:tcPr>
            <w:tcW w:w="72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2022.03</w:t>
            </w:r>
          </w:p>
        </w:tc>
        <w:tc>
          <w:tcPr>
            <w:tcW w:w="915"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独立董事</w:t>
            </w:r>
          </w:p>
        </w:tc>
        <w:tc>
          <w:tcPr>
            <w:tcW w:w="748" w:type="pct"/>
            <w:tcBorders>
              <w:top w:val="single" w:sz="4" w:space="0" w:color="auto"/>
              <w:left w:val="single" w:sz="4" w:space="0" w:color="auto"/>
              <w:bottom w:val="single" w:sz="4" w:space="0" w:color="auto"/>
              <w:right w:val="single" w:sz="4" w:space="0" w:color="auto"/>
            </w:tcBorders>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748" w:type="pct"/>
            <w:tcBorders>
              <w:top w:val="single" w:sz="4" w:space="0" w:color="auto"/>
              <w:left w:val="single" w:sz="4" w:space="0" w:color="auto"/>
              <w:bottom w:val="single" w:sz="4" w:space="0" w:color="auto"/>
              <w:right w:val="single" w:sz="4" w:space="0" w:color="auto"/>
            </w:tcBorders>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10.1.2监事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755"/>
        <w:gridCol w:w="1247"/>
        <w:gridCol w:w="1330"/>
        <w:gridCol w:w="1670"/>
        <w:gridCol w:w="1365"/>
        <w:gridCol w:w="1365"/>
      </w:tblGrid>
      <w:tr w:rsidR="008768CC" w:rsidTr="00293A0E">
        <w:trPr>
          <w:trHeight w:val="1005"/>
          <w:jc w:val="center"/>
        </w:trPr>
        <w:tc>
          <w:tcPr>
            <w:tcW w:w="757"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姓名</w:t>
            </w:r>
          </w:p>
        </w:tc>
        <w:tc>
          <w:tcPr>
            <w:tcW w:w="4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性别</w:t>
            </w:r>
          </w:p>
        </w:tc>
        <w:tc>
          <w:tcPr>
            <w:tcW w:w="684"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出生年份</w:t>
            </w:r>
          </w:p>
        </w:tc>
        <w:tc>
          <w:tcPr>
            <w:tcW w:w="729"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任职时间</w:t>
            </w:r>
          </w:p>
        </w:tc>
        <w:tc>
          <w:tcPr>
            <w:tcW w:w="9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职务</w:t>
            </w:r>
          </w:p>
        </w:tc>
        <w:tc>
          <w:tcPr>
            <w:tcW w:w="748"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领取薪酬</w:t>
            </w:r>
          </w:p>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748" w:type="pct"/>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持股数</w:t>
            </w:r>
            <w:r>
              <w:rPr>
                <w:rFonts w:asciiTheme="minorEastAsia" w:eastAsiaTheme="minorEastAsia" w:hAnsiTheme="minorEastAsia" w:cs="宋体" w:hint="eastAsia"/>
                <w:kern w:val="0"/>
                <w:sz w:val="24"/>
                <w:szCs w:val="24"/>
              </w:rPr>
              <w:br/>
              <w:t>（股）</w:t>
            </w:r>
          </w:p>
        </w:tc>
      </w:tr>
      <w:tr w:rsidR="008768CC" w:rsidTr="00293A0E">
        <w:trPr>
          <w:trHeight w:val="508"/>
          <w:jc w:val="center"/>
        </w:trPr>
        <w:tc>
          <w:tcPr>
            <w:tcW w:w="757"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宁波</w:t>
            </w:r>
          </w:p>
        </w:tc>
        <w:tc>
          <w:tcPr>
            <w:tcW w:w="4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男</w:t>
            </w:r>
          </w:p>
        </w:tc>
        <w:tc>
          <w:tcPr>
            <w:tcW w:w="684"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1972</w:t>
            </w:r>
          </w:p>
        </w:tc>
        <w:tc>
          <w:tcPr>
            <w:tcW w:w="729"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2023.04</w:t>
            </w:r>
          </w:p>
        </w:tc>
        <w:tc>
          <w:tcPr>
            <w:tcW w:w="9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职工监事</w:t>
            </w:r>
          </w:p>
        </w:tc>
        <w:tc>
          <w:tcPr>
            <w:tcW w:w="748"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748"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188,190</w:t>
            </w:r>
          </w:p>
        </w:tc>
      </w:tr>
      <w:tr w:rsidR="008768CC" w:rsidTr="00293A0E">
        <w:trPr>
          <w:trHeight w:val="508"/>
          <w:jc w:val="center"/>
        </w:trPr>
        <w:tc>
          <w:tcPr>
            <w:tcW w:w="757"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伍书漠</w:t>
            </w:r>
          </w:p>
        </w:tc>
        <w:tc>
          <w:tcPr>
            <w:tcW w:w="4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男</w:t>
            </w:r>
          </w:p>
        </w:tc>
        <w:tc>
          <w:tcPr>
            <w:tcW w:w="684"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1986</w:t>
            </w:r>
          </w:p>
        </w:tc>
        <w:tc>
          <w:tcPr>
            <w:tcW w:w="729"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2023.12</w:t>
            </w:r>
          </w:p>
        </w:tc>
        <w:tc>
          <w:tcPr>
            <w:tcW w:w="9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外部监事</w:t>
            </w:r>
          </w:p>
        </w:tc>
        <w:tc>
          <w:tcPr>
            <w:tcW w:w="748"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748"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p>
        </w:tc>
      </w:tr>
      <w:tr w:rsidR="008768CC" w:rsidTr="00293A0E">
        <w:trPr>
          <w:trHeight w:val="508"/>
          <w:jc w:val="center"/>
        </w:trPr>
        <w:tc>
          <w:tcPr>
            <w:tcW w:w="757"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苏湄</w:t>
            </w:r>
          </w:p>
        </w:tc>
        <w:tc>
          <w:tcPr>
            <w:tcW w:w="4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女</w:t>
            </w:r>
          </w:p>
        </w:tc>
        <w:tc>
          <w:tcPr>
            <w:tcW w:w="684"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1973</w:t>
            </w:r>
          </w:p>
        </w:tc>
        <w:tc>
          <w:tcPr>
            <w:tcW w:w="729"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2023.04</w:t>
            </w:r>
          </w:p>
        </w:tc>
        <w:tc>
          <w:tcPr>
            <w:tcW w:w="9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外部监事</w:t>
            </w:r>
          </w:p>
        </w:tc>
        <w:tc>
          <w:tcPr>
            <w:tcW w:w="748"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748"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p>
        </w:tc>
      </w:tr>
      <w:tr w:rsidR="008768CC" w:rsidTr="00293A0E">
        <w:trPr>
          <w:trHeight w:val="518"/>
          <w:jc w:val="center"/>
        </w:trPr>
        <w:tc>
          <w:tcPr>
            <w:tcW w:w="757"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江伟韬</w:t>
            </w:r>
          </w:p>
        </w:tc>
        <w:tc>
          <w:tcPr>
            <w:tcW w:w="4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男</w:t>
            </w:r>
          </w:p>
        </w:tc>
        <w:tc>
          <w:tcPr>
            <w:tcW w:w="684"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1993</w:t>
            </w:r>
          </w:p>
        </w:tc>
        <w:tc>
          <w:tcPr>
            <w:tcW w:w="729"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2023.04</w:t>
            </w:r>
          </w:p>
        </w:tc>
        <w:tc>
          <w:tcPr>
            <w:tcW w:w="9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股东监事</w:t>
            </w:r>
          </w:p>
        </w:tc>
        <w:tc>
          <w:tcPr>
            <w:tcW w:w="748"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748"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10.1.3高级管理层</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w:t>
      </w:r>
      <w:r>
        <w:rPr>
          <w:rFonts w:asciiTheme="minorEastAsia" w:eastAsiaTheme="minorEastAsia" w:hAnsiTheme="minorEastAsia" w:cs="宋体"/>
          <w:kern w:val="0"/>
          <w:sz w:val="24"/>
          <w:szCs w:val="24"/>
        </w:rPr>
        <w:t>报告期末</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本行高级管理层由</w:t>
      </w:r>
      <w:r>
        <w:rPr>
          <w:rFonts w:asciiTheme="minorEastAsia" w:eastAsiaTheme="minorEastAsia" w:hAnsiTheme="minorEastAsia" w:cs="宋体" w:hint="eastAsia"/>
          <w:kern w:val="0"/>
          <w:sz w:val="24"/>
          <w:szCs w:val="24"/>
        </w:rPr>
        <w:t>1名行长、1</w:t>
      </w:r>
      <w:r>
        <w:rPr>
          <w:rFonts w:asciiTheme="minorEastAsia" w:eastAsiaTheme="minorEastAsia" w:hAnsiTheme="minorEastAsia" w:cs="宋体"/>
          <w:kern w:val="0"/>
          <w:sz w:val="24"/>
          <w:szCs w:val="24"/>
        </w:rPr>
        <w:t>名副行长</w:t>
      </w:r>
      <w:r>
        <w:rPr>
          <w:rFonts w:asciiTheme="minorEastAsia" w:eastAsiaTheme="minorEastAsia" w:hAnsiTheme="minorEastAsia" w:cs="宋体" w:hint="eastAsia"/>
          <w:kern w:val="0"/>
          <w:sz w:val="24"/>
          <w:szCs w:val="24"/>
        </w:rPr>
        <w:t>、1名行长助理、</w:t>
      </w:r>
      <w:r>
        <w:rPr>
          <w:rFonts w:asciiTheme="minorEastAsia" w:eastAsiaTheme="minorEastAsia" w:hAnsiTheme="minorEastAsia" w:cs="宋体"/>
          <w:kern w:val="0"/>
          <w:sz w:val="24"/>
          <w:szCs w:val="24"/>
        </w:rPr>
        <w:t>1名董事会秘书</w:t>
      </w:r>
      <w:r>
        <w:rPr>
          <w:rFonts w:asciiTheme="minorEastAsia" w:eastAsiaTheme="minorEastAsia" w:hAnsiTheme="minorEastAsia" w:cs="宋体" w:hint="eastAsia"/>
          <w:kern w:val="0"/>
          <w:sz w:val="24"/>
          <w:szCs w:val="24"/>
        </w:rPr>
        <w:t>、1</w:t>
      </w:r>
      <w:r>
        <w:rPr>
          <w:rFonts w:asciiTheme="minorEastAsia" w:eastAsiaTheme="minorEastAsia" w:hAnsiTheme="minorEastAsia" w:cs="宋体"/>
          <w:kern w:val="0"/>
          <w:sz w:val="24"/>
          <w:szCs w:val="24"/>
        </w:rPr>
        <w:t>名计划财务部总经理</w:t>
      </w:r>
      <w:r>
        <w:rPr>
          <w:rFonts w:asciiTheme="minorEastAsia" w:eastAsiaTheme="minorEastAsia" w:hAnsiTheme="minorEastAsia" w:cs="宋体" w:hint="eastAsia"/>
          <w:kern w:val="0"/>
          <w:sz w:val="24"/>
          <w:szCs w:val="24"/>
        </w:rPr>
        <w:t>、1</w:t>
      </w:r>
      <w:r>
        <w:rPr>
          <w:rFonts w:asciiTheme="minorEastAsia" w:eastAsiaTheme="minorEastAsia" w:hAnsiTheme="minorEastAsia" w:cs="宋体"/>
          <w:kern w:val="0"/>
          <w:sz w:val="24"/>
          <w:szCs w:val="24"/>
        </w:rPr>
        <w:t>名审计部总经理</w:t>
      </w:r>
      <w:r>
        <w:rPr>
          <w:rFonts w:asciiTheme="minorEastAsia" w:eastAsiaTheme="minorEastAsia" w:hAnsiTheme="minorEastAsia" w:cs="宋体" w:hint="eastAsia"/>
          <w:kern w:val="0"/>
          <w:sz w:val="24"/>
          <w:szCs w:val="24"/>
        </w:rPr>
        <w:t>、1</w:t>
      </w:r>
      <w:r>
        <w:rPr>
          <w:rFonts w:asciiTheme="minorEastAsia" w:eastAsiaTheme="minorEastAsia" w:hAnsiTheme="minorEastAsia" w:cs="宋体"/>
          <w:kern w:val="0"/>
          <w:sz w:val="24"/>
          <w:szCs w:val="24"/>
        </w:rPr>
        <w:t>名合</w:t>
      </w:r>
      <w:proofErr w:type="gramStart"/>
      <w:r>
        <w:rPr>
          <w:rFonts w:asciiTheme="minorEastAsia" w:eastAsiaTheme="minorEastAsia" w:hAnsiTheme="minorEastAsia" w:cs="宋体"/>
          <w:kern w:val="0"/>
          <w:sz w:val="24"/>
          <w:szCs w:val="24"/>
        </w:rPr>
        <w:t>规</w:t>
      </w:r>
      <w:proofErr w:type="gramEnd"/>
      <w:r>
        <w:rPr>
          <w:rFonts w:asciiTheme="minorEastAsia" w:eastAsiaTheme="minorEastAsia" w:hAnsiTheme="minorEastAsia" w:cs="宋体"/>
          <w:kern w:val="0"/>
          <w:sz w:val="24"/>
          <w:szCs w:val="24"/>
        </w:rPr>
        <w:t>与风险管理部总经理组成。</w:t>
      </w:r>
      <w:r>
        <w:rPr>
          <w:rFonts w:asciiTheme="minorEastAsia" w:eastAsiaTheme="minorEastAsia" w:hAnsiTheme="minorEastAsia" w:cs="宋体"/>
          <w:kern w:val="0"/>
          <w:sz w:val="24"/>
          <w:szCs w:val="24"/>
        </w:rPr>
        <w:lastRenderedPageBreak/>
        <w:t>本行实行一级法人管理体制，分支机构不具有法人资格，在总行的授权范围内依法开展业务，其民事责任由总行承担。</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56"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高级管理层下设</w:t>
      </w:r>
      <w:r>
        <w:rPr>
          <w:rFonts w:asciiTheme="minorEastAsia" w:eastAsiaTheme="minorEastAsia" w:hAnsiTheme="minorEastAsia" w:cs="宋体" w:hint="eastAsia"/>
          <w:kern w:val="0"/>
          <w:sz w:val="24"/>
          <w:szCs w:val="24"/>
        </w:rPr>
        <w:t>经营与风险管理委员会、授信审批委员会、资产负债管理委员会、采购管理委员会、财务管理委员会、薪酬与绩效管理委员会、信息科技管理委员会、不良资产管理委员会、业务连续性管理委员会、资金交易和投资决策委员会，</w:t>
      </w:r>
      <w:r>
        <w:rPr>
          <w:rFonts w:asciiTheme="minorEastAsia" w:eastAsiaTheme="minorEastAsia" w:hAnsiTheme="minorEastAsia" w:cs="宋体"/>
          <w:kern w:val="0"/>
          <w:sz w:val="24"/>
          <w:szCs w:val="24"/>
        </w:rPr>
        <w:t>各委员会按照相关职能独立运作</w:t>
      </w:r>
      <w:r>
        <w:rPr>
          <w:rFonts w:asciiTheme="minorEastAsia" w:eastAsiaTheme="minorEastAsia" w:hAnsiTheme="minorEastAsia" w:cs="宋体" w:hint="eastAsia"/>
          <w:kern w:val="0"/>
          <w:sz w:val="24"/>
          <w:szCs w:val="24"/>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696"/>
        <w:gridCol w:w="1176"/>
        <w:gridCol w:w="1176"/>
        <w:gridCol w:w="2856"/>
        <w:gridCol w:w="1176"/>
        <w:gridCol w:w="1056"/>
      </w:tblGrid>
      <w:tr w:rsidR="008768CC" w:rsidTr="00293A0E">
        <w:trPr>
          <w:trHeight w:val="641"/>
          <w:jc w:val="center"/>
        </w:trPr>
        <w:tc>
          <w:tcPr>
            <w:tcW w:w="757"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br w:type="page"/>
            </w:r>
            <w:r>
              <w:rPr>
                <w:rFonts w:asciiTheme="minorEastAsia" w:eastAsiaTheme="minorEastAsia" w:hAnsiTheme="minorEastAsia" w:cs="宋体" w:hint="eastAsia"/>
                <w:kern w:val="0"/>
                <w:sz w:val="24"/>
                <w:szCs w:val="24"/>
              </w:rPr>
              <w:t>姓名</w:t>
            </w:r>
          </w:p>
        </w:tc>
        <w:tc>
          <w:tcPr>
            <w:tcW w:w="4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性别</w:t>
            </w:r>
          </w:p>
        </w:tc>
        <w:tc>
          <w:tcPr>
            <w:tcW w:w="691"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出生年份</w:t>
            </w:r>
          </w:p>
        </w:tc>
        <w:tc>
          <w:tcPr>
            <w:tcW w:w="691"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任职时间</w:t>
            </w:r>
          </w:p>
        </w:tc>
        <w:tc>
          <w:tcPr>
            <w:tcW w:w="1083"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职务</w:t>
            </w:r>
          </w:p>
        </w:tc>
        <w:tc>
          <w:tcPr>
            <w:tcW w:w="66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领取薪酬</w:t>
            </w:r>
          </w:p>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694" w:type="pct"/>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持股数</w:t>
            </w:r>
            <w:r>
              <w:rPr>
                <w:rFonts w:asciiTheme="minorEastAsia" w:eastAsiaTheme="minorEastAsia" w:hAnsiTheme="minorEastAsia" w:cs="宋体" w:hint="eastAsia"/>
                <w:kern w:val="0"/>
                <w:sz w:val="24"/>
                <w:szCs w:val="24"/>
              </w:rPr>
              <w:br/>
              <w:t>（股）</w:t>
            </w:r>
          </w:p>
        </w:tc>
      </w:tr>
      <w:tr w:rsidR="008768CC" w:rsidTr="00293A0E">
        <w:trPr>
          <w:trHeight w:val="283"/>
          <w:jc w:val="center"/>
        </w:trPr>
        <w:tc>
          <w:tcPr>
            <w:tcW w:w="757"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钟剑钊</w:t>
            </w:r>
          </w:p>
        </w:tc>
        <w:tc>
          <w:tcPr>
            <w:tcW w:w="4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男</w:t>
            </w:r>
          </w:p>
        </w:tc>
        <w:tc>
          <w:tcPr>
            <w:tcW w:w="691"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1973</w:t>
            </w:r>
          </w:p>
        </w:tc>
        <w:tc>
          <w:tcPr>
            <w:tcW w:w="691"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2022.12</w:t>
            </w:r>
          </w:p>
        </w:tc>
        <w:tc>
          <w:tcPr>
            <w:tcW w:w="1083"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行长</w:t>
            </w:r>
          </w:p>
        </w:tc>
        <w:tc>
          <w:tcPr>
            <w:tcW w:w="66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694"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p>
        </w:tc>
      </w:tr>
      <w:tr w:rsidR="008768CC" w:rsidTr="00293A0E">
        <w:trPr>
          <w:trHeight w:val="283"/>
          <w:jc w:val="center"/>
        </w:trPr>
        <w:tc>
          <w:tcPr>
            <w:tcW w:w="757"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刘文康</w:t>
            </w:r>
          </w:p>
        </w:tc>
        <w:tc>
          <w:tcPr>
            <w:tcW w:w="4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男</w:t>
            </w:r>
          </w:p>
        </w:tc>
        <w:tc>
          <w:tcPr>
            <w:tcW w:w="691"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1968</w:t>
            </w:r>
          </w:p>
        </w:tc>
        <w:tc>
          <w:tcPr>
            <w:tcW w:w="691"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2019.02</w:t>
            </w:r>
          </w:p>
        </w:tc>
        <w:tc>
          <w:tcPr>
            <w:tcW w:w="1083"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副行长</w:t>
            </w:r>
          </w:p>
        </w:tc>
        <w:tc>
          <w:tcPr>
            <w:tcW w:w="66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694" w:type="pct"/>
            <w:noWrap/>
            <w:vAlign w:val="center"/>
          </w:tcPr>
          <w:p w:rsidR="008768CC" w:rsidRDefault="008768CC" w:rsidP="00293A0E">
            <w:pPr>
              <w:spacing w:line="500" w:lineRule="exact"/>
              <w:ind w:firstLineChars="0" w:firstLine="0"/>
              <w:jc w:val="left"/>
              <w:rPr>
                <w:rFonts w:asciiTheme="minorEastAsia" w:eastAsiaTheme="minorEastAsia" w:hAnsiTheme="minorEastAsia" w:cs="宋体"/>
                <w:kern w:val="0"/>
                <w:sz w:val="24"/>
                <w:szCs w:val="24"/>
              </w:rPr>
            </w:pPr>
          </w:p>
        </w:tc>
      </w:tr>
      <w:tr w:rsidR="008768CC" w:rsidTr="00293A0E">
        <w:trPr>
          <w:trHeight w:val="283"/>
          <w:jc w:val="center"/>
        </w:trPr>
        <w:tc>
          <w:tcPr>
            <w:tcW w:w="757"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陈海珍</w:t>
            </w:r>
          </w:p>
        </w:tc>
        <w:tc>
          <w:tcPr>
            <w:tcW w:w="4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女</w:t>
            </w:r>
          </w:p>
        </w:tc>
        <w:tc>
          <w:tcPr>
            <w:tcW w:w="691"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1985</w:t>
            </w:r>
          </w:p>
        </w:tc>
        <w:tc>
          <w:tcPr>
            <w:tcW w:w="691"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2020.12</w:t>
            </w:r>
          </w:p>
        </w:tc>
        <w:tc>
          <w:tcPr>
            <w:tcW w:w="1083"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行长助理</w:t>
            </w:r>
          </w:p>
        </w:tc>
        <w:tc>
          <w:tcPr>
            <w:tcW w:w="66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694"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303,96</w:t>
            </w:r>
            <w:r>
              <w:rPr>
                <w:rFonts w:asciiTheme="minorEastAsia" w:eastAsiaTheme="minorEastAsia" w:hAnsiTheme="minorEastAsia" w:cs="宋体"/>
                <w:kern w:val="0"/>
                <w:sz w:val="24"/>
                <w:szCs w:val="24"/>
              </w:rPr>
              <w:t>0</w:t>
            </w:r>
          </w:p>
        </w:tc>
      </w:tr>
      <w:tr w:rsidR="008768CC" w:rsidTr="00293A0E">
        <w:trPr>
          <w:trHeight w:val="283"/>
          <w:jc w:val="center"/>
        </w:trPr>
        <w:tc>
          <w:tcPr>
            <w:tcW w:w="757"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丘海莲</w:t>
            </w:r>
          </w:p>
        </w:tc>
        <w:tc>
          <w:tcPr>
            <w:tcW w:w="4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女</w:t>
            </w:r>
          </w:p>
        </w:tc>
        <w:tc>
          <w:tcPr>
            <w:tcW w:w="691"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1974</w:t>
            </w:r>
          </w:p>
        </w:tc>
        <w:tc>
          <w:tcPr>
            <w:tcW w:w="691"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2017.08</w:t>
            </w:r>
          </w:p>
        </w:tc>
        <w:tc>
          <w:tcPr>
            <w:tcW w:w="1083"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董事会秘书</w:t>
            </w:r>
          </w:p>
        </w:tc>
        <w:tc>
          <w:tcPr>
            <w:tcW w:w="66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694"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279,480</w:t>
            </w:r>
            <w:r>
              <w:rPr>
                <w:rFonts w:asciiTheme="minorEastAsia" w:eastAsiaTheme="minorEastAsia" w:hAnsiTheme="minorEastAsia" w:cs="宋体"/>
                <w:kern w:val="0"/>
                <w:sz w:val="24"/>
                <w:szCs w:val="24"/>
              </w:rPr>
              <w:t xml:space="preserve"> </w:t>
            </w:r>
          </w:p>
        </w:tc>
      </w:tr>
      <w:tr w:rsidR="008768CC" w:rsidTr="00293A0E">
        <w:trPr>
          <w:trHeight w:val="283"/>
          <w:jc w:val="center"/>
        </w:trPr>
        <w:tc>
          <w:tcPr>
            <w:tcW w:w="757"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proofErr w:type="gramStart"/>
            <w:r>
              <w:rPr>
                <w:rFonts w:asciiTheme="minorEastAsia" w:eastAsiaTheme="minorEastAsia" w:hAnsiTheme="minorEastAsia" w:cs="宋体" w:hint="eastAsia"/>
                <w:kern w:val="0"/>
                <w:sz w:val="24"/>
                <w:szCs w:val="24"/>
              </w:rPr>
              <w:t>丘理生</w:t>
            </w:r>
            <w:proofErr w:type="gramEnd"/>
          </w:p>
        </w:tc>
        <w:tc>
          <w:tcPr>
            <w:tcW w:w="4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男</w:t>
            </w:r>
          </w:p>
        </w:tc>
        <w:tc>
          <w:tcPr>
            <w:tcW w:w="691"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1978</w:t>
            </w:r>
          </w:p>
        </w:tc>
        <w:tc>
          <w:tcPr>
            <w:tcW w:w="691"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2021.12</w:t>
            </w:r>
          </w:p>
        </w:tc>
        <w:tc>
          <w:tcPr>
            <w:tcW w:w="1083"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计划财务部总经理</w:t>
            </w:r>
          </w:p>
        </w:tc>
        <w:tc>
          <w:tcPr>
            <w:tcW w:w="66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694"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276</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726</w:t>
            </w:r>
          </w:p>
        </w:tc>
      </w:tr>
      <w:tr w:rsidR="008768CC" w:rsidTr="00293A0E">
        <w:trPr>
          <w:trHeight w:val="283"/>
          <w:jc w:val="center"/>
        </w:trPr>
        <w:tc>
          <w:tcPr>
            <w:tcW w:w="757"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黎雪峰</w:t>
            </w:r>
          </w:p>
        </w:tc>
        <w:tc>
          <w:tcPr>
            <w:tcW w:w="4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男</w:t>
            </w:r>
          </w:p>
        </w:tc>
        <w:tc>
          <w:tcPr>
            <w:tcW w:w="691"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1973</w:t>
            </w:r>
          </w:p>
        </w:tc>
        <w:tc>
          <w:tcPr>
            <w:tcW w:w="691"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2022.04</w:t>
            </w:r>
          </w:p>
        </w:tc>
        <w:tc>
          <w:tcPr>
            <w:tcW w:w="1083"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审计部总经理</w:t>
            </w:r>
          </w:p>
        </w:tc>
        <w:tc>
          <w:tcPr>
            <w:tcW w:w="66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694"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308</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550</w:t>
            </w:r>
          </w:p>
        </w:tc>
      </w:tr>
      <w:tr w:rsidR="008768CC" w:rsidTr="00293A0E">
        <w:trPr>
          <w:trHeight w:val="283"/>
          <w:jc w:val="center"/>
        </w:trPr>
        <w:tc>
          <w:tcPr>
            <w:tcW w:w="757"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周伟</w:t>
            </w:r>
          </w:p>
        </w:tc>
        <w:tc>
          <w:tcPr>
            <w:tcW w:w="41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男</w:t>
            </w:r>
          </w:p>
        </w:tc>
        <w:tc>
          <w:tcPr>
            <w:tcW w:w="691"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1974</w:t>
            </w:r>
          </w:p>
        </w:tc>
        <w:tc>
          <w:tcPr>
            <w:tcW w:w="691"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2020.9</w:t>
            </w:r>
          </w:p>
        </w:tc>
        <w:tc>
          <w:tcPr>
            <w:tcW w:w="1083"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合</w:t>
            </w:r>
            <w:proofErr w:type="gramStart"/>
            <w:r>
              <w:rPr>
                <w:rFonts w:asciiTheme="minorEastAsia" w:eastAsiaTheme="minorEastAsia" w:hAnsiTheme="minorEastAsia" w:cs="宋体" w:hint="eastAsia"/>
                <w:kern w:val="0"/>
                <w:sz w:val="24"/>
                <w:szCs w:val="24"/>
              </w:rPr>
              <w:t>规</w:t>
            </w:r>
            <w:proofErr w:type="gramEnd"/>
            <w:r>
              <w:rPr>
                <w:rFonts w:asciiTheme="minorEastAsia" w:eastAsiaTheme="minorEastAsia" w:hAnsiTheme="minorEastAsia" w:cs="宋体" w:hint="eastAsia"/>
                <w:kern w:val="0"/>
                <w:sz w:val="24"/>
                <w:szCs w:val="24"/>
              </w:rPr>
              <w:t>与风险管理部总经理</w:t>
            </w:r>
          </w:p>
        </w:tc>
        <w:tc>
          <w:tcPr>
            <w:tcW w:w="665"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tc>
        <w:tc>
          <w:tcPr>
            <w:tcW w:w="694" w:type="pct"/>
            <w:noWrap/>
            <w:vAlign w:val="center"/>
          </w:tcPr>
          <w:p w:rsidR="008768CC" w:rsidRDefault="008768CC" w:rsidP="00293A0E">
            <w:pPr>
              <w:spacing w:line="500" w:lineRule="exact"/>
              <w:ind w:firstLineChars="0" w:firstLine="0"/>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6</w:t>
            </w:r>
            <w:r>
              <w:rPr>
                <w:rFonts w:asciiTheme="minorEastAsia" w:eastAsiaTheme="minorEastAsia" w:hAnsiTheme="minorEastAsia" w:cs="宋体" w:hint="eastAsia"/>
                <w:kern w:val="0"/>
                <w:sz w:val="24"/>
                <w:szCs w:val="24"/>
              </w:rPr>
              <w:t>6,3</w:t>
            </w:r>
            <w:r>
              <w:rPr>
                <w:rFonts w:asciiTheme="minorEastAsia" w:eastAsiaTheme="minorEastAsia" w:hAnsiTheme="minorEastAsia" w:cs="宋体"/>
                <w:kern w:val="0"/>
                <w:sz w:val="24"/>
                <w:szCs w:val="24"/>
              </w:rPr>
              <w:t>00</w:t>
            </w:r>
          </w:p>
        </w:tc>
      </w:tr>
    </w:tbl>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10.2董事、监事、高级管理人员简历及任职情况</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10.2.1董事</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黄勇</w:t>
      </w:r>
      <w:r>
        <w:rPr>
          <w:rFonts w:asciiTheme="minorEastAsia" w:eastAsiaTheme="minorEastAsia" w:hAnsiTheme="minorEastAsia" w:cs="宋体"/>
          <w:b/>
          <w:kern w:val="0"/>
          <w:sz w:val="24"/>
          <w:szCs w:val="24"/>
        </w:rPr>
        <w:t>先生</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本行职工董事，本科学历，</w:t>
      </w:r>
      <w:r>
        <w:rPr>
          <w:rFonts w:asciiTheme="minorEastAsia" w:eastAsiaTheme="minorEastAsia" w:hAnsiTheme="minorEastAsia" w:cs="宋体" w:hint="eastAsia"/>
          <w:kern w:val="0"/>
          <w:sz w:val="24"/>
          <w:szCs w:val="24"/>
        </w:rPr>
        <w:t>中级经济师、高级政工师</w:t>
      </w:r>
      <w:r>
        <w:rPr>
          <w:rFonts w:asciiTheme="minorEastAsia" w:eastAsiaTheme="minorEastAsia" w:hAnsiTheme="minorEastAsia" w:cs="宋体"/>
          <w:kern w:val="0"/>
          <w:sz w:val="24"/>
          <w:szCs w:val="24"/>
        </w:rPr>
        <w:t>。现任</w:t>
      </w:r>
      <w:r>
        <w:rPr>
          <w:rFonts w:asciiTheme="minorEastAsia" w:eastAsiaTheme="minorEastAsia" w:hAnsiTheme="minorEastAsia" w:cs="宋体" w:hint="eastAsia"/>
          <w:kern w:val="0"/>
          <w:sz w:val="24"/>
          <w:szCs w:val="24"/>
        </w:rPr>
        <w:t>信宜</w:t>
      </w:r>
      <w:r>
        <w:rPr>
          <w:rFonts w:asciiTheme="minorEastAsia" w:eastAsiaTheme="minorEastAsia" w:hAnsiTheme="minorEastAsia" w:cs="宋体"/>
          <w:kern w:val="0"/>
          <w:sz w:val="24"/>
          <w:szCs w:val="24"/>
        </w:rPr>
        <w:t>农商银行党委书记、董事长。</w:t>
      </w:r>
      <w:r>
        <w:rPr>
          <w:rFonts w:asciiTheme="minorEastAsia" w:eastAsiaTheme="minorEastAsia" w:hAnsiTheme="minorEastAsia" w:cs="宋体" w:hint="eastAsia"/>
          <w:kern w:val="0"/>
          <w:sz w:val="24"/>
          <w:szCs w:val="24"/>
        </w:rPr>
        <w:t>曾任农行海康县支行唐家营业所柜员，农行海康县支行下江储蓄所办事员、科员、负责人，雷州联社办公室副主任、办公室主任，雷州联社副主任，吴川联社副主任、主任、副书记，雷州联社党委书记、理事长，雷州农商银行党委书记、董事长。</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钟剑钊先生</w:t>
      </w:r>
    </w:p>
    <w:p w:rsidR="008768CC" w:rsidRDefault="008768CC" w:rsidP="008768CC">
      <w:pPr>
        <w:widowControl w:val="0"/>
        <w:spacing w:after="120"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职工董事，本科学历，经济师、高级政工师。现任信宜农商银行党委副书记、行长。曾任农业银行湛江市分行基建办出纳岗、湛江市农村金融体制改革领导小组办公室稽核岗、人民银行湛江市中心支行农金科监察员、湛江市</w:t>
      </w:r>
      <w:proofErr w:type="gramStart"/>
      <w:r>
        <w:rPr>
          <w:rFonts w:asciiTheme="minorEastAsia" w:eastAsiaTheme="minorEastAsia" w:hAnsiTheme="minorEastAsia" w:cs="宋体" w:hint="eastAsia"/>
          <w:kern w:val="0"/>
          <w:sz w:val="24"/>
          <w:szCs w:val="24"/>
        </w:rPr>
        <w:t>联社筹备</w:t>
      </w:r>
      <w:proofErr w:type="gramEnd"/>
      <w:r>
        <w:rPr>
          <w:rFonts w:asciiTheme="minorEastAsia" w:eastAsiaTheme="minorEastAsia" w:hAnsiTheme="minorEastAsia" w:cs="宋体" w:hint="eastAsia"/>
          <w:kern w:val="0"/>
          <w:sz w:val="24"/>
          <w:szCs w:val="24"/>
        </w:rPr>
        <w:t>办人事监察科人事监察岗、湛江市联社办公室岗、办公室副主任、综合管理部副经理、综合管理部经</w:t>
      </w:r>
      <w:r>
        <w:rPr>
          <w:rFonts w:asciiTheme="minorEastAsia" w:eastAsiaTheme="minorEastAsia" w:hAnsiTheme="minorEastAsia" w:cs="宋体" w:hint="eastAsia"/>
          <w:kern w:val="0"/>
          <w:sz w:val="24"/>
          <w:szCs w:val="24"/>
        </w:rPr>
        <w:lastRenderedPageBreak/>
        <w:t>理、党委办公室主任、办公室主任、湛江市联社党委委员、主任助理</w:t>
      </w:r>
      <w:r>
        <w:rPr>
          <w:rFonts w:asciiTheme="minorEastAsia" w:eastAsiaTheme="minorEastAsia" w:hAnsiTheme="minorEastAsia" w:cs="宋体"/>
          <w:kern w:val="0"/>
          <w:sz w:val="24"/>
          <w:szCs w:val="24"/>
        </w:rPr>
        <w:t>、东海联社党委书记、理事长、电白联社党委书记、茂名农商银行党委委员、副行长。</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丘海莲女士</w:t>
      </w:r>
    </w:p>
    <w:p w:rsidR="008768CC" w:rsidRDefault="008768CC" w:rsidP="008768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本行职工董事，</w:t>
      </w:r>
      <w:r>
        <w:rPr>
          <w:rFonts w:asciiTheme="minorEastAsia" w:eastAsiaTheme="minorEastAsia" w:hAnsiTheme="minorEastAsia" w:cs="宋体" w:hint="eastAsia"/>
          <w:kern w:val="0"/>
          <w:sz w:val="24"/>
          <w:szCs w:val="24"/>
        </w:rPr>
        <w:t>本科</w:t>
      </w:r>
      <w:r>
        <w:rPr>
          <w:rFonts w:asciiTheme="minorEastAsia" w:eastAsiaTheme="minorEastAsia" w:hAnsiTheme="minorEastAsia" w:cs="宋体"/>
          <w:kern w:val="0"/>
          <w:sz w:val="24"/>
          <w:szCs w:val="24"/>
        </w:rPr>
        <w:t>学历，</w:t>
      </w:r>
      <w:r>
        <w:rPr>
          <w:rFonts w:asciiTheme="minorEastAsia" w:eastAsiaTheme="minorEastAsia" w:hAnsiTheme="minorEastAsia" w:hint="eastAsia"/>
          <w:sz w:val="24"/>
          <w:szCs w:val="24"/>
        </w:rPr>
        <w:t>中级经济师。现任信宜农商银行</w:t>
      </w:r>
      <w:r>
        <w:rPr>
          <w:rFonts w:asciiTheme="minorEastAsia" w:eastAsiaTheme="minorEastAsia" w:hAnsiTheme="minorEastAsia" w:cs="宋体"/>
          <w:kern w:val="0"/>
          <w:sz w:val="24"/>
          <w:szCs w:val="24"/>
        </w:rPr>
        <w:t>董事会秘书</w:t>
      </w:r>
      <w:r>
        <w:rPr>
          <w:rFonts w:asciiTheme="minorEastAsia" w:eastAsiaTheme="minorEastAsia" w:hAnsiTheme="minorEastAsia" w:cs="宋体" w:hint="eastAsia"/>
          <w:kern w:val="0"/>
          <w:sz w:val="24"/>
          <w:szCs w:val="24"/>
        </w:rPr>
        <w:t>、党委办主任</w:t>
      </w:r>
      <w:r>
        <w:rPr>
          <w:rFonts w:asciiTheme="minorEastAsia" w:eastAsiaTheme="minorEastAsia" w:hAnsiTheme="minorEastAsia" w:cs="宋体"/>
          <w:kern w:val="0"/>
          <w:sz w:val="24"/>
          <w:szCs w:val="24"/>
        </w:rPr>
        <w:t>、董事会办公室主任</w:t>
      </w:r>
      <w:r>
        <w:rPr>
          <w:rFonts w:asciiTheme="minorEastAsia" w:eastAsiaTheme="minorEastAsia" w:hAnsiTheme="minorEastAsia" w:cs="宋体" w:hint="eastAsia"/>
          <w:kern w:val="0"/>
          <w:sz w:val="24"/>
          <w:szCs w:val="24"/>
        </w:rPr>
        <w:t>。</w:t>
      </w:r>
      <w:r>
        <w:rPr>
          <w:rFonts w:asciiTheme="minorEastAsia" w:eastAsiaTheme="minorEastAsia" w:hAnsiTheme="minorEastAsia" w:hint="eastAsia"/>
          <w:sz w:val="24"/>
          <w:szCs w:val="24"/>
        </w:rPr>
        <w:t>曾任信宜城区信用社会计</w:t>
      </w:r>
      <w:r>
        <w:rPr>
          <w:rFonts w:asciiTheme="minorEastAsia" w:eastAsiaTheme="minorEastAsia" w:hAnsiTheme="minorEastAsia"/>
          <w:sz w:val="24"/>
          <w:szCs w:val="24"/>
        </w:rPr>
        <w:t>,信宜联社营业部办事员，信宜联社办公室文秘,信宜联社会计结算部副经理、经理、工会办公室主任、办公室经理、理事会办公室主任、党委办主任</w:t>
      </w:r>
      <w:r>
        <w:rPr>
          <w:rFonts w:asciiTheme="minorEastAsia" w:eastAsiaTheme="minorEastAsia" w:hAnsiTheme="minorEastAsia" w:cs="宋体"/>
          <w:kern w:val="0"/>
          <w:sz w:val="24"/>
          <w:szCs w:val="24"/>
        </w:rPr>
        <w:t>。</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俞君乾先生</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cs="宋体"/>
          <w:kern w:val="0"/>
          <w:sz w:val="24"/>
          <w:szCs w:val="24"/>
        </w:rPr>
        <w:t>本行股权董事，</w:t>
      </w:r>
      <w:r>
        <w:rPr>
          <w:rFonts w:asciiTheme="minorEastAsia" w:eastAsiaTheme="minorEastAsia" w:hAnsiTheme="minorEastAsia" w:hint="eastAsia"/>
          <w:sz w:val="24"/>
          <w:szCs w:val="24"/>
        </w:rPr>
        <w:t>大专学历</w:t>
      </w:r>
      <w:r>
        <w:rPr>
          <w:rFonts w:asciiTheme="minorEastAsia" w:eastAsiaTheme="minorEastAsia" w:hAnsiTheme="minorEastAsia" w:cs="宋体"/>
          <w:kern w:val="0"/>
          <w:sz w:val="24"/>
          <w:szCs w:val="24"/>
        </w:rPr>
        <w:t>。现任</w:t>
      </w:r>
      <w:r>
        <w:rPr>
          <w:rFonts w:asciiTheme="minorEastAsia" w:eastAsiaTheme="minorEastAsia" w:hAnsiTheme="minorEastAsia" w:hint="eastAsia"/>
          <w:sz w:val="24"/>
          <w:szCs w:val="24"/>
        </w:rPr>
        <w:t>信宜市财政局国资办办事员；</w:t>
      </w:r>
      <w:r>
        <w:rPr>
          <w:rFonts w:asciiTheme="minorEastAsia" w:eastAsiaTheme="minorEastAsia" w:hAnsiTheme="minorEastAsia" w:cs="宋体" w:hint="eastAsia"/>
          <w:kern w:val="0"/>
          <w:sz w:val="24"/>
          <w:szCs w:val="24"/>
        </w:rPr>
        <w:t>信宜市国有资产经营有限公司法定代表人、董事；信宜金叶发展有限公司执行董事、法定代表人；信宜市</w:t>
      </w:r>
      <w:proofErr w:type="gramStart"/>
      <w:r>
        <w:rPr>
          <w:rFonts w:asciiTheme="minorEastAsia" w:eastAsiaTheme="minorEastAsia" w:hAnsiTheme="minorEastAsia" w:cs="宋体" w:hint="eastAsia"/>
          <w:kern w:val="0"/>
          <w:sz w:val="24"/>
          <w:szCs w:val="24"/>
        </w:rPr>
        <w:t>信恒国</w:t>
      </w:r>
      <w:proofErr w:type="gramEnd"/>
      <w:r>
        <w:rPr>
          <w:rFonts w:asciiTheme="minorEastAsia" w:eastAsiaTheme="minorEastAsia" w:hAnsiTheme="minorEastAsia" w:cs="宋体" w:hint="eastAsia"/>
          <w:kern w:val="0"/>
          <w:sz w:val="24"/>
          <w:szCs w:val="24"/>
        </w:rPr>
        <w:t>资集团管理运营有限公司董事；信宜市金玉</w:t>
      </w:r>
      <w:proofErr w:type="gramStart"/>
      <w:r>
        <w:rPr>
          <w:rFonts w:asciiTheme="minorEastAsia" w:eastAsiaTheme="minorEastAsia" w:hAnsiTheme="minorEastAsia" w:cs="宋体" w:hint="eastAsia"/>
          <w:kern w:val="0"/>
          <w:sz w:val="24"/>
          <w:szCs w:val="24"/>
        </w:rPr>
        <w:t>阁电子</w:t>
      </w:r>
      <w:proofErr w:type="gramEnd"/>
      <w:r>
        <w:rPr>
          <w:rFonts w:asciiTheme="minorEastAsia" w:eastAsiaTheme="minorEastAsia" w:hAnsiTheme="minorEastAsia" w:cs="宋体" w:hint="eastAsia"/>
          <w:kern w:val="0"/>
          <w:sz w:val="24"/>
          <w:szCs w:val="24"/>
        </w:rPr>
        <w:t>有限公司法定代表人、执行董事；信宜市信建双合防洪供水灌溉调度站有限公司法定代表人、执行董事；信宜市云开石化能源有限公司董事、副总经理、财务经理</w:t>
      </w:r>
      <w:r>
        <w:rPr>
          <w:rFonts w:asciiTheme="minorEastAsia" w:eastAsiaTheme="minorEastAsia" w:hAnsiTheme="minorEastAsia" w:hint="eastAsia"/>
          <w:sz w:val="24"/>
          <w:szCs w:val="24"/>
        </w:rPr>
        <w:t>。</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刘才富先生</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本行股权董事，</w:t>
      </w:r>
      <w:r>
        <w:rPr>
          <w:rFonts w:asciiTheme="minorEastAsia" w:eastAsiaTheme="minorEastAsia" w:hAnsiTheme="minorEastAsia" w:hint="eastAsia"/>
          <w:sz w:val="24"/>
          <w:szCs w:val="24"/>
        </w:rPr>
        <w:t>研究生学历</w:t>
      </w:r>
      <w:r>
        <w:rPr>
          <w:rFonts w:asciiTheme="minorEastAsia" w:eastAsiaTheme="minorEastAsia" w:hAnsiTheme="minorEastAsia" w:cs="宋体" w:hint="eastAsia"/>
          <w:kern w:val="0"/>
          <w:sz w:val="24"/>
          <w:szCs w:val="24"/>
        </w:rPr>
        <w:t>。现任佛山农村商业银行股份有限公司计划财务部总经理。曾任中山农村信用合作联社大涌信用社柜员、信贷统计员、财务办事员，中山农村信用合作联社计划财务部办事员，中山农村信用合作联社计划财务部副经理，中山农村商业银行股份有限公司计划财务部经理、高级经理、总经理助理，佛山农村商业银行股份有限公司计划财务部副总经理、副总经理（主持工作）、总经理。</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谢剑先生</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本行股权董事，</w:t>
      </w:r>
      <w:r>
        <w:rPr>
          <w:rFonts w:asciiTheme="minorEastAsia" w:eastAsiaTheme="minorEastAsia" w:hAnsiTheme="minorEastAsia" w:hint="eastAsia"/>
          <w:sz w:val="24"/>
          <w:szCs w:val="24"/>
        </w:rPr>
        <w:t>本科学历</w:t>
      </w:r>
      <w:r>
        <w:rPr>
          <w:rFonts w:asciiTheme="minorEastAsia" w:eastAsiaTheme="minorEastAsia" w:hAnsiTheme="minorEastAsia" w:cs="宋体" w:hint="eastAsia"/>
          <w:kern w:val="0"/>
          <w:sz w:val="24"/>
          <w:szCs w:val="24"/>
        </w:rPr>
        <w:t>。现任信宜市大深山种养专业合作社销售经理、信宜</w:t>
      </w:r>
      <w:proofErr w:type="gramStart"/>
      <w:r>
        <w:rPr>
          <w:rFonts w:asciiTheme="minorEastAsia" w:eastAsiaTheme="minorEastAsia" w:hAnsiTheme="minorEastAsia" w:cs="宋体" w:hint="eastAsia"/>
          <w:kern w:val="0"/>
          <w:sz w:val="24"/>
          <w:szCs w:val="24"/>
        </w:rPr>
        <w:t>市池洞镇池</w:t>
      </w:r>
      <w:proofErr w:type="gramEnd"/>
      <w:r>
        <w:rPr>
          <w:rFonts w:asciiTheme="minorEastAsia" w:eastAsiaTheme="minorEastAsia" w:hAnsiTheme="minorEastAsia" w:cs="宋体" w:hint="eastAsia"/>
          <w:kern w:val="0"/>
          <w:sz w:val="24"/>
          <w:szCs w:val="24"/>
        </w:rPr>
        <w:t>洞村村民委员会支委。曾任浙江帅康集团广州分公司销售员。</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陈德炎先生</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本行独立董事，本科学历。现任广东佐正律师事务所合伙人。曾任广东增法律师事务所律师助理、广东科德律师事务所执业律师、广东穗卫律师事务所执业律师。</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车岳云先生</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本行独立董事，本科学历，高级会计师、高级审计师。现任广东新华粤石化集团股份公司审计与效能监察经理。曾任</w:t>
      </w:r>
      <w:proofErr w:type="gramStart"/>
      <w:r>
        <w:rPr>
          <w:rFonts w:asciiTheme="minorEastAsia" w:eastAsiaTheme="minorEastAsia" w:hAnsiTheme="minorEastAsia" w:cs="宋体" w:hint="eastAsia"/>
          <w:kern w:val="0"/>
          <w:sz w:val="24"/>
          <w:szCs w:val="24"/>
        </w:rPr>
        <w:t>茂名高伦二氧化碳</w:t>
      </w:r>
      <w:proofErr w:type="gramEnd"/>
      <w:r>
        <w:rPr>
          <w:rFonts w:asciiTheme="minorEastAsia" w:eastAsiaTheme="minorEastAsia" w:hAnsiTheme="minorEastAsia" w:cs="宋体" w:hint="eastAsia"/>
          <w:kern w:val="0"/>
          <w:sz w:val="24"/>
          <w:szCs w:val="24"/>
        </w:rPr>
        <w:t>有限公司会计、茂名石化华粤企业集团公司（进出口分公司）会计、茂名石化华粤企业集团公司（劳保分公司）会计主管、茂名石化华粤企业集团公司（白油分公司）财务主管、茂名华粤华隆化工有限公司财务部部长、武汉鲁华粤达化工有限公司财务总监、茂名华粤华信石化有限公司财务总监。</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roofErr w:type="gramStart"/>
      <w:r>
        <w:rPr>
          <w:rFonts w:asciiTheme="minorEastAsia" w:eastAsiaTheme="minorEastAsia" w:hAnsiTheme="minorEastAsia" w:cs="宋体" w:hint="eastAsia"/>
          <w:b/>
          <w:kern w:val="0"/>
          <w:sz w:val="24"/>
          <w:szCs w:val="24"/>
        </w:rPr>
        <w:t>吴昌恒先生</w:t>
      </w:r>
      <w:proofErr w:type="gramEnd"/>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本行独立董事，本科学历。现任广东环球经纬律师事务所合伙人、专职律师。</w:t>
      </w:r>
    </w:p>
    <w:p w:rsidR="008768CC" w:rsidRDefault="008768CC" w:rsidP="008768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10.2.2监事</w:t>
      </w:r>
    </w:p>
    <w:p w:rsidR="008768CC" w:rsidRDefault="008768CC" w:rsidP="008768CC">
      <w:pPr>
        <w:widowControl w:val="0"/>
        <w:tabs>
          <w:tab w:val="left" w:pos="8647"/>
        </w:tabs>
        <w:spacing w:line="5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宁波先生</w:t>
      </w:r>
    </w:p>
    <w:p w:rsidR="008768CC" w:rsidRDefault="008768CC" w:rsidP="008768CC">
      <w:pPr>
        <w:widowControl w:val="0"/>
        <w:tabs>
          <w:tab w:val="left" w:pos="8647"/>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本行职工监事，本科学历，</w:t>
      </w:r>
      <w:r>
        <w:rPr>
          <w:rFonts w:asciiTheme="minorEastAsia" w:eastAsiaTheme="minorEastAsia" w:hAnsiTheme="minorEastAsia" w:hint="eastAsia"/>
          <w:sz w:val="24"/>
          <w:szCs w:val="24"/>
        </w:rPr>
        <w:t>助理会计师、中级经济师职称</w:t>
      </w:r>
      <w:r>
        <w:rPr>
          <w:rFonts w:asciiTheme="minorEastAsia" w:eastAsiaTheme="minorEastAsia" w:hAnsiTheme="minorEastAsia" w:cs="宋体" w:hint="eastAsia"/>
          <w:kern w:val="0"/>
          <w:sz w:val="24"/>
          <w:szCs w:val="24"/>
        </w:rPr>
        <w:t>。现任本行监事会办公室副主任（主持工作）</w:t>
      </w:r>
      <w:r>
        <w:rPr>
          <w:rFonts w:asciiTheme="minorEastAsia" w:eastAsiaTheme="minorEastAsia" w:hAnsiTheme="minorEastAsia" w:hint="eastAsia"/>
          <w:sz w:val="24"/>
          <w:szCs w:val="24"/>
        </w:rPr>
        <w:t>。曾任</w:t>
      </w:r>
      <w:r>
        <w:rPr>
          <w:rFonts w:asciiTheme="minorEastAsia" w:eastAsiaTheme="minorEastAsia" w:hAnsiTheme="minorEastAsia" w:hint="eastAsia"/>
          <w:spacing w:val="-4"/>
          <w:sz w:val="24"/>
          <w:szCs w:val="24"/>
        </w:rPr>
        <w:t>信宜市城市信用社稽核员，信宜市城区农村信用合作社事后监督员，洪冠信用社副主任，镇隆信用社副主任，径口信用社副主任，东镇信用社副主任，信宜农商银行东镇支行副行长，运营部副总经理（主持工作），合</w:t>
      </w:r>
      <w:proofErr w:type="gramStart"/>
      <w:r>
        <w:rPr>
          <w:rFonts w:asciiTheme="minorEastAsia" w:eastAsiaTheme="minorEastAsia" w:hAnsiTheme="minorEastAsia" w:hint="eastAsia"/>
          <w:spacing w:val="-4"/>
          <w:sz w:val="24"/>
          <w:szCs w:val="24"/>
        </w:rPr>
        <w:t>规</w:t>
      </w:r>
      <w:proofErr w:type="gramEnd"/>
      <w:r>
        <w:rPr>
          <w:rFonts w:asciiTheme="minorEastAsia" w:eastAsiaTheme="minorEastAsia" w:hAnsiTheme="minorEastAsia" w:hint="eastAsia"/>
          <w:spacing w:val="-4"/>
          <w:sz w:val="24"/>
          <w:szCs w:val="24"/>
        </w:rPr>
        <w:t>与风险管理部副总经理（主持工作）</w:t>
      </w:r>
      <w:r>
        <w:rPr>
          <w:rFonts w:asciiTheme="minorEastAsia" w:eastAsiaTheme="minorEastAsia" w:hAnsiTheme="minorEastAsia" w:hint="eastAsia"/>
          <w:sz w:val="24"/>
          <w:szCs w:val="24"/>
        </w:rPr>
        <w:t>。</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伍书漠先生</w:t>
      </w:r>
    </w:p>
    <w:p w:rsidR="008768CC" w:rsidRDefault="008768CC" w:rsidP="008768CC">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本行外部监事，本科学历，专职律师。现任广东公勤律师事务所任专职律师（合伙人、副主任），广东茂名农村商业银行股份有限公司外部监事。曾任广东海法律师事务所专职律师。</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苏湄女士</w:t>
      </w:r>
    </w:p>
    <w:p w:rsidR="008768CC" w:rsidRDefault="008768CC" w:rsidP="008768CC">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外部监事，本科学历，中级会计师，注册税务师、注册房地产评估师、注册土地评估师。现任中建卓越建设公司湛江分公司财务总监。曾任雷州市雷城镇基金会会计，雷州市雷城镇政府核算中心会计主管，湛江</w:t>
      </w:r>
      <w:proofErr w:type="gramStart"/>
      <w:r>
        <w:rPr>
          <w:rFonts w:asciiTheme="minorEastAsia" w:eastAsiaTheme="minorEastAsia" w:hAnsiTheme="minorEastAsia" w:cs="宋体" w:hint="eastAsia"/>
          <w:kern w:val="0"/>
          <w:sz w:val="24"/>
          <w:szCs w:val="24"/>
        </w:rPr>
        <w:t>市千福田会计师</w:t>
      </w:r>
      <w:proofErr w:type="gramEnd"/>
      <w:r>
        <w:rPr>
          <w:rFonts w:asciiTheme="minorEastAsia" w:eastAsiaTheme="minorEastAsia" w:hAnsiTheme="minorEastAsia" w:cs="宋体" w:hint="eastAsia"/>
          <w:kern w:val="0"/>
          <w:sz w:val="24"/>
          <w:szCs w:val="24"/>
        </w:rPr>
        <w:t>事务所项目经理，深圳市国</w:t>
      </w:r>
      <w:proofErr w:type="gramStart"/>
      <w:r>
        <w:rPr>
          <w:rFonts w:asciiTheme="minorEastAsia" w:eastAsiaTheme="minorEastAsia" w:hAnsiTheme="minorEastAsia" w:cs="宋体" w:hint="eastAsia"/>
          <w:kern w:val="0"/>
          <w:sz w:val="24"/>
          <w:szCs w:val="24"/>
        </w:rPr>
        <w:t>房土地</w:t>
      </w:r>
      <w:proofErr w:type="gramEnd"/>
      <w:r>
        <w:rPr>
          <w:rFonts w:asciiTheme="minorEastAsia" w:eastAsiaTheme="minorEastAsia" w:hAnsiTheme="minorEastAsia" w:cs="宋体" w:hint="eastAsia"/>
          <w:kern w:val="0"/>
          <w:sz w:val="24"/>
          <w:szCs w:val="24"/>
        </w:rPr>
        <w:t>房地产评估公司负责人。</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江伟韬先生</w:t>
      </w:r>
    </w:p>
    <w:p w:rsidR="008768CC" w:rsidRDefault="008768CC" w:rsidP="008768CC">
      <w:pPr>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本行股东监事，本科学历。现任茂名</w:t>
      </w:r>
      <w:proofErr w:type="gramStart"/>
      <w:r>
        <w:rPr>
          <w:rFonts w:asciiTheme="minorEastAsia" w:eastAsiaTheme="minorEastAsia" w:hAnsiTheme="minorEastAsia" w:cs="宋体" w:hint="eastAsia"/>
          <w:kern w:val="0"/>
          <w:sz w:val="24"/>
          <w:szCs w:val="24"/>
        </w:rPr>
        <w:t>市兴盈不锈钢</w:t>
      </w:r>
      <w:proofErr w:type="gramEnd"/>
      <w:r>
        <w:rPr>
          <w:rFonts w:asciiTheme="minorEastAsia" w:eastAsiaTheme="minorEastAsia" w:hAnsiTheme="minorEastAsia" w:cs="宋体" w:hint="eastAsia"/>
          <w:kern w:val="0"/>
          <w:sz w:val="24"/>
          <w:szCs w:val="24"/>
        </w:rPr>
        <w:t>发展有限公司法定代表人，广州文</w:t>
      </w:r>
      <w:proofErr w:type="gramStart"/>
      <w:r>
        <w:rPr>
          <w:rFonts w:asciiTheme="minorEastAsia" w:eastAsiaTheme="minorEastAsia" w:hAnsiTheme="minorEastAsia" w:cs="宋体" w:hint="eastAsia"/>
          <w:kern w:val="0"/>
          <w:sz w:val="24"/>
          <w:szCs w:val="24"/>
        </w:rPr>
        <w:t>韬</w:t>
      </w:r>
      <w:proofErr w:type="gramEnd"/>
      <w:r>
        <w:rPr>
          <w:rFonts w:asciiTheme="minorEastAsia" w:eastAsiaTheme="minorEastAsia" w:hAnsiTheme="minorEastAsia" w:cs="宋体" w:hint="eastAsia"/>
          <w:kern w:val="0"/>
          <w:sz w:val="24"/>
          <w:szCs w:val="24"/>
        </w:rPr>
        <w:t>创举文化传播有限公司股东，上海中鸽实业有限公司执行董事、法定代表人，信宜</w:t>
      </w:r>
      <w:r>
        <w:rPr>
          <w:rFonts w:asciiTheme="minorEastAsia" w:eastAsiaTheme="minorEastAsia" w:hAnsiTheme="minorEastAsia" w:cs="宋体" w:hint="eastAsia"/>
          <w:kern w:val="0"/>
          <w:sz w:val="24"/>
          <w:szCs w:val="24"/>
        </w:rPr>
        <w:lastRenderedPageBreak/>
        <w:t>市白</w:t>
      </w:r>
      <w:proofErr w:type="gramStart"/>
      <w:r>
        <w:rPr>
          <w:rFonts w:asciiTheme="minorEastAsia" w:eastAsiaTheme="minorEastAsia" w:hAnsiTheme="minorEastAsia" w:cs="宋体" w:hint="eastAsia"/>
          <w:kern w:val="0"/>
          <w:sz w:val="24"/>
          <w:szCs w:val="24"/>
        </w:rPr>
        <w:t>石镇众合</w:t>
      </w:r>
      <w:proofErr w:type="gramEnd"/>
      <w:r>
        <w:rPr>
          <w:rFonts w:asciiTheme="minorEastAsia" w:eastAsiaTheme="minorEastAsia" w:hAnsiTheme="minorEastAsia" w:cs="宋体" w:hint="eastAsia"/>
          <w:kern w:val="0"/>
          <w:sz w:val="24"/>
          <w:szCs w:val="24"/>
        </w:rPr>
        <w:t>电站（普通合伙）股东，沃丰水产（吴川）有限公司监事，广东艮汇农业发展有限公司执行董事、法定代表人，茂名</w:t>
      </w:r>
      <w:proofErr w:type="gramStart"/>
      <w:r>
        <w:rPr>
          <w:rFonts w:asciiTheme="minorEastAsia" w:eastAsiaTheme="minorEastAsia" w:hAnsiTheme="minorEastAsia" w:cs="宋体" w:hint="eastAsia"/>
          <w:kern w:val="0"/>
          <w:sz w:val="24"/>
          <w:szCs w:val="24"/>
        </w:rPr>
        <w:t>江盛铭诚</w:t>
      </w:r>
      <w:proofErr w:type="gramEnd"/>
      <w:r>
        <w:rPr>
          <w:rFonts w:asciiTheme="minorEastAsia" w:eastAsiaTheme="minorEastAsia" w:hAnsiTheme="minorEastAsia" w:cs="宋体" w:hint="eastAsia"/>
          <w:kern w:val="0"/>
          <w:sz w:val="24"/>
          <w:szCs w:val="24"/>
        </w:rPr>
        <w:t>企业管理咨询有限责任公司法定代表人、董事，广东捷沃新能源科技有限公司法定代表人、董事，深圳市谈校风</w:t>
      </w:r>
      <w:proofErr w:type="gramStart"/>
      <w:r>
        <w:rPr>
          <w:rFonts w:asciiTheme="minorEastAsia" w:eastAsiaTheme="minorEastAsia" w:hAnsiTheme="minorEastAsia" w:cs="宋体" w:hint="eastAsia"/>
          <w:kern w:val="0"/>
          <w:sz w:val="24"/>
          <w:szCs w:val="24"/>
        </w:rPr>
        <w:t>生教育</w:t>
      </w:r>
      <w:proofErr w:type="gramEnd"/>
      <w:r>
        <w:rPr>
          <w:rFonts w:asciiTheme="minorEastAsia" w:eastAsiaTheme="minorEastAsia" w:hAnsiTheme="minorEastAsia" w:cs="宋体" w:hint="eastAsia"/>
          <w:kern w:val="0"/>
          <w:sz w:val="24"/>
          <w:szCs w:val="24"/>
        </w:rPr>
        <w:t>科技有限公司董事，茂名</w:t>
      </w:r>
      <w:proofErr w:type="gramStart"/>
      <w:r>
        <w:rPr>
          <w:rFonts w:asciiTheme="minorEastAsia" w:eastAsiaTheme="minorEastAsia" w:hAnsiTheme="minorEastAsia" w:cs="宋体" w:hint="eastAsia"/>
          <w:kern w:val="0"/>
          <w:sz w:val="24"/>
          <w:szCs w:val="24"/>
        </w:rPr>
        <w:t>市实宇</w:t>
      </w:r>
      <w:proofErr w:type="gramEnd"/>
      <w:r>
        <w:rPr>
          <w:rFonts w:asciiTheme="minorEastAsia" w:eastAsiaTheme="minorEastAsia" w:hAnsiTheme="minorEastAsia" w:cs="宋体" w:hint="eastAsia"/>
          <w:kern w:val="0"/>
          <w:sz w:val="24"/>
          <w:szCs w:val="24"/>
        </w:rPr>
        <w:t>茶业有限公司监事，</w:t>
      </w:r>
      <w:proofErr w:type="gramStart"/>
      <w:r>
        <w:rPr>
          <w:rFonts w:asciiTheme="minorEastAsia" w:eastAsiaTheme="minorEastAsia" w:hAnsiTheme="minorEastAsia" w:cs="宋体" w:hint="eastAsia"/>
          <w:kern w:val="0"/>
          <w:sz w:val="24"/>
          <w:szCs w:val="24"/>
        </w:rPr>
        <w:t>默初投资</w:t>
      </w:r>
      <w:proofErr w:type="gramEnd"/>
      <w:r>
        <w:rPr>
          <w:rFonts w:asciiTheme="minorEastAsia" w:eastAsiaTheme="minorEastAsia" w:hAnsiTheme="minorEastAsia" w:cs="宋体" w:hint="eastAsia"/>
          <w:kern w:val="0"/>
          <w:sz w:val="24"/>
          <w:szCs w:val="24"/>
        </w:rPr>
        <w:t>（广州）合伙企业（有限合伙）股东，茂名</w:t>
      </w:r>
      <w:proofErr w:type="gramStart"/>
      <w:r>
        <w:rPr>
          <w:rFonts w:asciiTheme="minorEastAsia" w:eastAsiaTheme="minorEastAsia" w:hAnsiTheme="minorEastAsia" w:cs="宋体" w:hint="eastAsia"/>
          <w:kern w:val="0"/>
          <w:sz w:val="24"/>
          <w:szCs w:val="24"/>
        </w:rPr>
        <w:t>市布易班餐饮</w:t>
      </w:r>
      <w:proofErr w:type="gramEnd"/>
      <w:r>
        <w:rPr>
          <w:rFonts w:asciiTheme="minorEastAsia" w:eastAsiaTheme="minorEastAsia" w:hAnsiTheme="minorEastAsia" w:cs="宋体" w:hint="eastAsia"/>
          <w:kern w:val="0"/>
          <w:sz w:val="24"/>
          <w:szCs w:val="24"/>
        </w:rPr>
        <w:t>有限公司监事。</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10.2.3高级管理人员</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钟剑钊先生</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本行党委副书记、行长，本科学历，中级经济师、高级政工师。曾任农业银行湛江市分行基建办出纳岗、</w:t>
      </w:r>
      <w:r>
        <w:rPr>
          <w:rFonts w:asciiTheme="minorEastAsia" w:eastAsiaTheme="minorEastAsia" w:hAnsiTheme="minorEastAsia" w:cs="宋体"/>
          <w:kern w:val="0"/>
          <w:sz w:val="24"/>
          <w:szCs w:val="24"/>
        </w:rPr>
        <w:t>湛江市农村金融体制改革领导小组办公室稽核岗</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人民银行湛江市中心支行农金科监察员</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湛江市</w:t>
      </w:r>
      <w:proofErr w:type="gramStart"/>
      <w:r>
        <w:rPr>
          <w:rFonts w:asciiTheme="minorEastAsia" w:eastAsiaTheme="minorEastAsia" w:hAnsiTheme="minorEastAsia" w:cs="宋体"/>
          <w:kern w:val="0"/>
          <w:sz w:val="24"/>
          <w:szCs w:val="24"/>
        </w:rPr>
        <w:t>联社筹备</w:t>
      </w:r>
      <w:proofErr w:type="gramEnd"/>
      <w:r>
        <w:rPr>
          <w:rFonts w:asciiTheme="minorEastAsia" w:eastAsiaTheme="minorEastAsia" w:hAnsiTheme="minorEastAsia" w:cs="宋体"/>
          <w:kern w:val="0"/>
          <w:sz w:val="24"/>
          <w:szCs w:val="24"/>
        </w:rPr>
        <w:t>办人事监察科人事监察岗</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湛江市联社办公室岗</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办公室副主任</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综合管理部副经理</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综合管理部经理</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党委办公室主任</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办公室主任</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湛江市联社党委委员、主任助理</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东海联社党委书记、理事长</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电白联社党委书记</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茂名农商银行党委委员、副行长</w:t>
      </w:r>
      <w:r>
        <w:rPr>
          <w:rFonts w:asciiTheme="minorEastAsia" w:eastAsiaTheme="minorEastAsia" w:hAnsiTheme="minorEastAsia" w:cs="宋体" w:hint="eastAsia"/>
          <w:kern w:val="0"/>
          <w:sz w:val="24"/>
          <w:szCs w:val="24"/>
        </w:rPr>
        <w:t>。</w:t>
      </w:r>
    </w:p>
    <w:p w:rsidR="008768CC" w:rsidRDefault="008768CC" w:rsidP="008768CC">
      <w:pPr>
        <w:widowControl w:val="0"/>
        <w:spacing w:line="5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刘文康先生</w:t>
      </w:r>
    </w:p>
    <w:p w:rsidR="008768CC" w:rsidRDefault="008768CC" w:rsidP="008768CC">
      <w:pPr>
        <w:widowControl w:val="0"/>
        <w:spacing w:line="500" w:lineRule="exact"/>
        <w:ind w:firstLineChars="0" w:firstLine="0"/>
        <w:rPr>
          <w:rFonts w:asciiTheme="minorEastAsia" w:eastAsiaTheme="minorEastAsia" w:hAnsiTheme="minorEastAsia" w:cs="宋体"/>
          <w:kern w:val="0"/>
          <w:sz w:val="24"/>
          <w:szCs w:val="24"/>
        </w:rPr>
      </w:pPr>
      <w:proofErr w:type="gramStart"/>
      <w:r>
        <w:rPr>
          <w:rFonts w:asciiTheme="minorEastAsia" w:eastAsiaTheme="minorEastAsia" w:hAnsiTheme="minorEastAsia" w:cs="宋体" w:hint="eastAsia"/>
          <w:kern w:val="0"/>
          <w:sz w:val="24"/>
          <w:szCs w:val="24"/>
        </w:rPr>
        <w:t>本行副</w:t>
      </w:r>
      <w:proofErr w:type="gramEnd"/>
      <w:r>
        <w:rPr>
          <w:rFonts w:asciiTheme="minorEastAsia" w:eastAsiaTheme="minorEastAsia" w:hAnsiTheme="minorEastAsia" w:cs="宋体" w:hint="eastAsia"/>
          <w:kern w:val="0"/>
          <w:sz w:val="24"/>
          <w:szCs w:val="24"/>
        </w:rPr>
        <w:t>行长，</w:t>
      </w:r>
      <w:r>
        <w:rPr>
          <w:rFonts w:asciiTheme="minorEastAsia" w:eastAsiaTheme="minorEastAsia" w:hAnsiTheme="minorEastAsia" w:hint="eastAsia"/>
          <w:sz w:val="24"/>
          <w:szCs w:val="24"/>
        </w:rPr>
        <w:t>大专学历，中级经济师。曾任人民银行茂名中心支行营业部会计、票据交换中心票据交换员、资金清算分中心管理员、人民银行茂名中心支行金融管理科监管员、茂名联社科技科副科长、茂名城区联社副主任、高州联社副主任</w:t>
      </w:r>
      <w:r>
        <w:rPr>
          <w:rFonts w:asciiTheme="minorEastAsia" w:eastAsiaTheme="minorEastAsia" w:hAnsiTheme="minorEastAsia" w:cs="宋体" w:hint="eastAsia"/>
          <w:kern w:val="0"/>
          <w:sz w:val="24"/>
          <w:szCs w:val="24"/>
        </w:rPr>
        <w:t>。</w:t>
      </w:r>
    </w:p>
    <w:p w:rsidR="008768CC" w:rsidRDefault="008768CC" w:rsidP="008768CC">
      <w:pPr>
        <w:widowControl w:val="0"/>
        <w:spacing w:line="5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陈海珍女士</w:t>
      </w:r>
    </w:p>
    <w:p w:rsidR="008768CC" w:rsidRDefault="008768CC" w:rsidP="008768CC">
      <w:pPr>
        <w:widowControl w:val="0"/>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本行行长助理</w:t>
      </w:r>
      <w:r>
        <w:rPr>
          <w:rFonts w:asciiTheme="minorEastAsia" w:eastAsiaTheme="minorEastAsia" w:hAnsiTheme="minorEastAsia" w:cs="宋体" w:hint="eastAsia"/>
          <w:kern w:val="0"/>
          <w:sz w:val="24"/>
          <w:szCs w:val="24"/>
        </w:rPr>
        <w:t>，本科学历，中级经济师、助理政工师。曾任信宜联社营业部柜员、信贷员、主办信贷，信宜联社营业部副经理、风险管理部副经理、资金业务部经理、计划财务部经理、信宜农商银行金融市场部总经理、授信</w:t>
      </w:r>
      <w:proofErr w:type="gramStart"/>
      <w:r>
        <w:rPr>
          <w:rFonts w:asciiTheme="minorEastAsia" w:eastAsiaTheme="minorEastAsia" w:hAnsiTheme="minorEastAsia" w:cs="宋体" w:hint="eastAsia"/>
          <w:kern w:val="0"/>
          <w:sz w:val="24"/>
          <w:szCs w:val="24"/>
        </w:rPr>
        <w:t>审批部</w:t>
      </w:r>
      <w:proofErr w:type="gramEnd"/>
      <w:r>
        <w:rPr>
          <w:rFonts w:asciiTheme="minorEastAsia" w:eastAsiaTheme="minorEastAsia" w:hAnsiTheme="minorEastAsia" w:cs="宋体" w:hint="eastAsia"/>
          <w:kern w:val="0"/>
          <w:sz w:val="24"/>
          <w:szCs w:val="24"/>
        </w:rPr>
        <w:t>总经理。</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丘海莲</w:t>
      </w:r>
      <w:r>
        <w:rPr>
          <w:rFonts w:asciiTheme="minorEastAsia" w:eastAsiaTheme="minorEastAsia" w:hAnsiTheme="minorEastAsia" w:cs="宋体"/>
          <w:b/>
          <w:kern w:val="0"/>
          <w:sz w:val="24"/>
          <w:szCs w:val="24"/>
        </w:rPr>
        <w:t>女士</w:t>
      </w:r>
    </w:p>
    <w:p w:rsidR="008768CC" w:rsidRDefault="008768CC" w:rsidP="008768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本行</w:t>
      </w:r>
      <w:r>
        <w:rPr>
          <w:rFonts w:asciiTheme="minorEastAsia" w:eastAsiaTheme="minorEastAsia" w:hAnsiTheme="minorEastAsia" w:cs="宋体" w:hint="eastAsia"/>
          <w:kern w:val="0"/>
          <w:sz w:val="24"/>
          <w:szCs w:val="24"/>
        </w:rPr>
        <w:t>董事会秘书</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本科</w:t>
      </w:r>
      <w:r>
        <w:rPr>
          <w:rFonts w:asciiTheme="minorEastAsia" w:eastAsiaTheme="minorEastAsia" w:hAnsiTheme="minorEastAsia" w:cs="宋体"/>
          <w:kern w:val="0"/>
          <w:sz w:val="24"/>
          <w:szCs w:val="24"/>
        </w:rPr>
        <w:t>学历，</w:t>
      </w:r>
      <w:r>
        <w:rPr>
          <w:rFonts w:asciiTheme="minorEastAsia" w:eastAsiaTheme="minorEastAsia" w:hAnsiTheme="minorEastAsia" w:hint="eastAsia"/>
          <w:sz w:val="24"/>
          <w:szCs w:val="24"/>
        </w:rPr>
        <w:t>中级经济师。现任信宜农商银行职工</w:t>
      </w:r>
      <w:r>
        <w:rPr>
          <w:rFonts w:asciiTheme="minorEastAsia" w:eastAsiaTheme="minorEastAsia" w:hAnsiTheme="minorEastAsia" w:cs="宋体"/>
          <w:kern w:val="0"/>
          <w:sz w:val="24"/>
          <w:szCs w:val="24"/>
        </w:rPr>
        <w:t>董事</w:t>
      </w:r>
      <w:r>
        <w:rPr>
          <w:rFonts w:asciiTheme="minorEastAsia" w:eastAsiaTheme="minorEastAsia" w:hAnsiTheme="minorEastAsia" w:cs="宋体" w:hint="eastAsia"/>
          <w:kern w:val="0"/>
          <w:sz w:val="24"/>
          <w:szCs w:val="24"/>
        </w:rPr>
        <w:t>、党委办主任</w:t>
      </w:r>
      <w:r>
        <w:rPr>
          <w:rFonts w:asciiTheme="minorEastAsia" w:eastAsiaTheme="minorEastAsia" w:hAnsiTheme="minorEastAsia" w:cs="宋体"/>
          <w:kern w:val="0"/>
          <w:sz w:val="24"/>
          <w:szCs w:val="24"/>
        </w:rPr>
        <w:t>、董事会办公室主任</w:t>
      </w:r>
      <w:r>
        <w:rPr>
          <w:rFonts w:asciiTheme="minorEastAsia" w:eastAsiaTheme="minorEastAsia" w:hAnsiTheme="minorEastAsia" w:cs="宋体" w:hint="eastAsia"/>
          <w:kern w:val="0"/>
          <w:sz w:val="24"/>
          <w:szCs w:val="24"/>
        </w:rPr>
        <w:t>。</w:t>
      </w:r>
      <w:r>
        <w:rPr>
          <w:rFonts w:asciiTheme="minorEastAsia" w:eastAsiaTheme="minorEastAsia" w:hAnsiTheme="minorEastAsia" w:hint="eastAsia"/>
          <w:sz w:val="24"/>
          <w:szCs w:val="24"/>
        </w:rPr>
        <w:t>曾任信宜城区信用社会计</w:t>
      </w:r>
      <w:r>
        <w:rPr>
          <w:rFonts w:asciiTheme="minorEastAsia" w:eastAsiaTheme="minorEastAsia" w:hAnsiTheme="minorEastAsia"/>
          <w:sz w:val="24"/>
          <w:szCs w:val="24"/>
        </w:rPr>
        <w:t>,信宜联社营业部办事员，信宜联社办公室文秘,信宜联社会计结算部副经理、经理、工会办公室主任、办公室经理、理事会办公室主任、党委办主任</w:t>
      </w:r>
      <w:r>
        <w:rPr>
          <w:rFonts w:asciiTheme="minorEastAsia" w:eastAsiaTheme="minorEastAsia" w:hAnsiTheme="minorEastAsia" w:cs="宋体"/>
          <w:kern w:val="0"/>
          <w:sz w:val="24"/>
          <w:szCs w:val="24"/>
        </w:rPr>
        <w:t>。</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roofErr w:type="gramStart"/>
      <w:r>
        <w:rPr>
          <w:rFonts w:asciiTheme="minorEastAsia" w:eastAsiaTheme="minorEastAsia" w:hAnsiTheme="minorEastAsia" w:cs="宋体" w:hint="eastAsia"/>
          <w:b/>
          <w:kern w:val="0"/>
          <w:sz w:val="24"/>
          <w:szCs w:val="24"/>
        </w:rPr>
        <w:lastRenderedPageBreak/>
        <w:t>丘理生</w:t>
      </w:r>
      <w:proofErr w:type="gramEnd"/>
      <w:r>
        <w:rPr>
          <w:rFonts w:asciiTheme="minorEastAsia" w:eastAsiaTheme="minorEastAsia" w:hAnsiTheme="minorEastAsia" w:cs="宋体" w:hint="eastAsia"/>
          <w:b/>
          <w:kern w:val="0"/>
          <w:sz w:val="24"/>
          <w:szCs w:val="24"/>
        </w:rPr>
        <w:t>先生</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计划财务部总经理，本科学历，中级经济师、助理会计师。曾任信宜联社池洞信用社会计、事后监督、主办会计，信宜联社计划资金财务部办事员、副经理，计划财务部副经理，信宜农商银行计划财务部副总经理、信贷管理部副总经理。</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黎雪峰先生</w:t>
      </w:r>
    </w:p>
    <w:p w:rsidR="008768CC" w:rsidRDefault="008768CC" w:rsidP="008768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本行审计部总经理，本科学历，中级会计师、中级经济师。曾任</w:t>
      </w:r>
      <w:r>
        <w:rPr>
          <w:rFonts w:asciiTheme="minorEastAsia" w:eastAsiaTheme="minorEastAsia" w:hAnsiTheme="minorEastAsia" w:cs="宋体"/>
          <w:kern w:val="0"/>
          <w:sz w:val="24"/>
          <w:szCs w:val="24"/>
        </w:rPr>
        <w:t>信宜联社城区信用社分社会计、出纳、总社信贷员</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合水信用社临时主任助理</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副主任</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新宝信用社主任</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电子银行部经理</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运营部经理</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信宜农商银行运营部总经理</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茶山支行行长</w:t>
      </w:r>
      <w:r>
        <w:rPr>
          <w:rFonts w:asciiTheme="minorEastAsia" w:eastAsiaTheme="minorEastAsia" w:hAnsiTheme="minorEastAsia" w:cs="宋体" w:hint="eastAsia"/>
          <w:kern w:val="0"/>
          <w:sz w:val="24"/>
          <w:szCs w:val="24"/>
        </w:rPr>
        <w:t>。</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周伟先生</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本行合</w:t>
      </w:r>
      <w:proofErr w:type="gramStart"/>
      <w:r>
        <w:rPr>
          <w:rFonts w:asciiTheme="minorEastAsia" w:eastAsiaTheme="minorEastAsia" w:hAnsiTheme="minorEastAsia" w:cs="宋体" w:hint="eastAsia"/>
          <w:kern w:val="0"/>
          <w:sz w:val="24"/>
          <w:szCs w:val="24"/>
        </w:rPr>
        <w:t>规</w:t>
      </w:r>
      <w:proofErr w:type="gramEnd"/>
      <w:r>
        <w:rPr>
          <w:rFonts w:asciiTheme="minorEastAsia" w:eastAsiaTheme="minorEastAsia" w:hAnsiTheme="minorEastAsia" w:cs="宋体" w:hint="eastAsia"/>
          <w:kern w:val="0"/>
          <w:sz w:val="24"/>
          <w:szCs w:val="24"/>
        </w:rPr>
        <w:t>与风险管理部总经理，本科学历，中级政工师。曾任信宜市城市信用社办事员，信宜联社监察稽核部办事员、办公室副经理、怀乡信用社副主任、市场营销部副经理、营业部副经理、办公室副经理，信宜农商银行办公室副总经理、业务拓展部副总经理、运营部副总经理、内审监察部副总经理、审计部副总经理。</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10.3董事会、监事会、高级管理层人员变动情况</w:t>
      </w:r>
    </w:p>
    <w:p w:rsidR="008768CC" w:rsidRDefault="008768CC" w:rsidP="008768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10.3.1董事</w:t>
      </w:r>
    </w:p>
    <w:p w:rsidR="008768CC" w:rsidRDefault="008768CC" w:rsidP="008768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报告期内，本行董事会成员减少</w:t>
      </w:r>
      <w:r>
        <w:rPr>
          <w:rFonts w:asciiTheme="minorEastAsia" w:eastAsiaTheme="minorEastAsia" w:hAnsiTheme="minorEastAsia" w:cs="宋体"/>
          <w:kern w:val="0"/>
          <w:sz w:val="24"/>
          <w:szCs w:val="24"/>
        </w:rPr>
        <w:t>3名，增加3名。</w:t>
      </w:r>
    </w:p>
    <w:p w:rsidR="008768CC" w:rsidRDefault="008768CC" w:rsidP="008768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w:t>
      </w:r>
      <w:r>
        <w:rPr>
          <w:rFonts w:asciiTheme="minorEastAsia" w:eastAsiaTheme="minorEastAsia" w:hAnsiTheme="minorEastAsia" w:cs="宋体"/>
          <w:kern w:val="0"/>
          <w:sz w:val="24"/>
          <w:szCs w:val="24"/>
        </w:rPr>
        <w:t>2023年4月27日召开2022年度股东大会，选举产生了第二届董事会成员。第一届董事会成员李泽明、陈柳珍、俞立升自然退出董事会，股东大会选举出新的董事名单如下：职工董事钟剑钊、股权董事俞君乾、股权董事刘才富。报中国银行保险监督管理委员会茂名监管分局核准任职资格，本行于2023年6月25日聘任钟剑钊、俞君乾、刘才富为本行第二届董事会董事。</w:t>
      </w:r>
    </w:p>
    <w:p w:rsidR="008768CC" w:rsidRDefault="008768CC" w:rsidP="008768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10.3.2监事</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报告期内，本行监事会成员减少5</w:t>
      </w:r>
      <w:r>
        <w:rPr>
          <w:rFonts w:asciiTheme="minorEastAsia" w:eastAsiaTheme="minorEastAsia" w:hAnsiTheme="minorEastAsia" w:cs="宋体"/>
          <w:kern w:val="0"/>
          <w:sz w:val="24"/>
          <w:szCs w:val="24"/>
        </w:rPr>
        <w:t>名，增加</w:t>
      </w:r>
      <w:r>
        <w:rPr>
          <w:rFonts w:asciiTheme="minorEastAsia" w:eastAsiaTheme="minorEastAsia" w:hAnsiTheme="minorEastAsia" w:cs="宋体" w:hint="eastAsia"/>
          <w:kern w:val="0"/>
          <w:sz w:val="24"/>
          <w:szCs w:val="24"/>
        </w:rPr>
        <w:t>4</w:t>
      </w:r>
      <w:r>
        <w:rPr>
          <w:rFonts w:asciiTheme="minorEastAsia" w:eastAsiaTheme="minorEastAsia" w:hAnsiTheme="minorEastAsia" w:cs="宋体"/>
          <w:kern w:val="0"/>
          <w:sz w:val="24"/>
          <w:szCs w:val="24"/>
        </w:rPr>
        <w:t>名。</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w:t>
      </w:r>
      <w:r>
        <w:rPr>
          <w:rFonts w:asciiTheme="minorEastAsia" w:eastAsiaTheme="minorEastAsia" w:hAnsiTheme="minorEastAsia" w:cs="宋体"/>
          <w:kern w:val="0"/>
          <w:sz w:val="24"/>
          <w:szCs w:val="24"/>
        </w:rPr>
        <w:t>2023年4月27日召开2022年度股东大会，选举产生了第二届</w:t>
      </w:r>
      <w:r>
        <w:rPr>
          <w:rFonts w:asciiTheme="minorEastAsia" w:eastAsiaTheme="minorEastAsia" w:hAnsiTheme="minorEastAsia" w:cs="宋体" w:hint="eastAsia"/>
          <w:kern w:val="0"/>
          <w:sz w:val="24"/>
          <w:szCs w:val="24"/>
        </w:rPr>
        <w:t>监事会</w:t>
      </w:r>
      <w:r>
        <w:rPr>
          <w:rFonts w:asciiTheme="minorEastAsia" w:eastAsiaTheme="minorEastAsia" w:hAnsiTheme="minorEastAsia" w:cs="宋体"/>
          <w:kern w:val="0"/>
          <w:sz w:val="24"/>
          <w:szCs w:val="24"/>
        </w:rPr>
        <w:t>成员。第一届</w:t>
      </w:r>
      <w:r>
        <w:rPr>
          <w:rFonts w:asciiTheme="minorEastAsia" w:eastAsiaTheme="minorEastAsia" w:hAnsiTheme="minorEastAsia" w:cs="宋体" w:hint="eastAsia"/>
          <w:kern w:val="0"/>
          <w:sz w:val="24"/>
          <w:szCs w:val="24"/>
        </w:rPr>
        <w:t>监事会</w:t>
      </w:r>
      <w:r>
        <w:rPr>
          <w:rFonts w:asciiTheme="minorEastAsia" w:eastAsiaTheme="minorEastAsia" w:hAnsiTheme="minorEastAsia" w:cs="宋体"/>
          <w:kern w:val="0"/>
          <w:sz w:val="24"/>
          <w:szCs w:val="24"/>
        </w:rPr>
        <w:t>成员</w:t>
      </w:r>
      <w:r>
        <w:rPr>
          <w:rFonts w:asciiTheme="minorEastAsia" w:eastAsiaTheme="minorEastAsia" w:hAnsiTheme="minorEastAsia" w:cs="宋体" w:hint="eastAsia"/>
          <w:kern w:val="0"/>
          <w:sz w:val="24"/>
          <w:szCs w:val="24"/>
        </w:rPr>
        <w:t>徐娟</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梁庭云</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阮覃伟</w:t>
      </w:r>
      <w:r>
        <w:rPr>
          <w:rFonts w:asciiTheme="minorEastAsia" w:eastAsiaTheme="minorEastAsia" w:hAnsiTheme="minorEastAsia" w:cs="宋体"/>
          <w:kern w:val="0"/>
          <w:sz w:val="24"/>
          <w:szCs w:val="24"/>
        </w:rPr>
        <w:t>自然退出</w:t>
      </w:r>
      <w:r>
        <w:rPr>
          <w:rFonts w:asciiTheme="minorEastAsia" w:eastAsiaTheme="minorEastAsia" w:hAnsiTheme="minorEastAsia" w:cs="宋体" w:hint="eastAsia"/>
          <w:kern w:val="0"/>
          <w:sz w:val="24"/>
          <w:szCs w:val="24"/>
        </w:rPr>
        <w:t>监事会</w:t>
      </w:r>
      <w:r>
        <w:rPr>
          <w:rFonts w:asciiTheme="minorEastAsia" w:eastAsiaTheme="minorEastAsia" w:hAnsiTheme="minorEastAsia" w:cs="宋体"/>
          <w:kern w:val="0"/>
          <w:sz w:val="24"/>
          <w:szCs w:val="24"/>
        </w:rPr>
        <w:t>，股东大会选举出新的</w:t>
      </w:r>
      <w:r>
        <w:rPr>
          <w:rFonts w:asciiTheme="minorEastAsia" w:eastAsiaTheme="minorEastAsia" w:hAnsiTheme="minorEastAsia" w:cs="宋体" w:hint="eastAsia"/>
          <w:kern w:val="0"/>
          <w:sz w:val="24"/>
          <w:szCs w:val="24"/>
        </w:rPr>
        <w:t>监事</w:t>
      </w:r>
      <w:r>
        <w:rPr>
          <w:rFonts w:asciiTheme="minorEastAsia" w:eastAsiaTheme="minorEastAsia" w:hAnsiTheme="minorEastAsia" w:cs="宋体"/>
          <w:kern w:val="0"/>
          <w:sz w:val="24"/>
          <w:szCs w:val="24"/>
        </w:rPr>
        <w:t>名单如下：职工</w:t>
      </w:r>
      <w:r>
        <w:rPr>
          <w:rFonts w:asciiTheme="minorEastAsia" w:eastAsiaTheme="minorEastAsia" w:hAnsiTheme="minorEastAsia" w:cs="宋体" w:hint="eastAsia"/>
          <w:kern w:val="0"/>
          <w:sz w:val="24"/>
          <w:szCs w:val="24"/>
        </w:rPr>
        <w:t>监事宁波</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外部监事苏湄</w:t>
      </w:r>
      <w:r>
        <w:rPr>
          <w:rFonts w:asciiTheme="minorEastAsia" w:eastAsiaTheme="minorEastAsia" w:hAnsiTheme="minorEastAsia" w:cs="宋体"/>
          <w:kern w:val="0"/>
          <w:sz w:val="24"/>
          <w:szCs w:val="24"/>
        </w:rPr>
        <w:t>、股权</w:t>
      </w:r>
      <w:r>
        <w:rPr>
          <w:rFonts w:asciiTheme="minorEastAsia" w:eastAsiaTheme="minorEastAsia" w:hAnsiTheme="minorEastAsia" w:cs="宋体" w:hint="eastAsia"/>
          <w:kern w:val="0"/>
          <w:sz w:val="24"/>
          <w:szCs w:val="24"/>
        </w:rPr>
        <w:t>监事江伟韬</w:t>
      </w:r>
      <w:r>
        <w:rPr>
          <w:rFonts w:asciiTheme="minorEastAsia" w:eastAsiaTheme="minorEastAsia" w:hAnsiTheme="minorEastAsia" w:cs="宋体"/>
          <w:kern w:val="0"/>
          <w:sz w:val="24"/>
          <w:szCs w:val="24"/>
        </w:rPr>
        <w:t>。</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2023年12月，因任期届满，免去李金唐先生本行第二届监事会外部监事，聘任伍书漠先进为本行第二届监事会外部监事。</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2023年12月，因工作变动，邢绮君女士辞去本行第二届监事会职工监事、监事会主席职务。</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10.3.3高级管理人员</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2023年6月，解聘彭旺先生</w:t>
      </w:r>
      <w:proofErr w:type="gramStart"/>
      <w:r>
        <w:rPr>
          <w:rFonts w:asciiTheme="minorEastAsia" w:eastAsiaTheme="minorEastAsia" w:hAnsiTheme="minorEastAsia" w:cs="宋体" w:hint="eastAsia"/>
          <w:kern w:val="0"/>
          <w:sz w:val="24"/>
          <w:szCs w:val="24"/>
        </w:rPr>
        <w:t>本行副</w:t>
      </w:r>
      <w:proofErr w:type="gramEnd"/>
      <w:r>
        <w:rPr>
          <w:rFonts w:asciiTheme="minorEastAsia" w:eastAsiaTheme="minorEastAsia" w:hAnsiTheme="minorEastAsia" w:cs="宋体" w:hint="eastAsia"/>
          <w:kern w:val="0"/>
          <w:sz w:val="24"/>
          <w:szCs w:val="24"/>
        </w:rPr>
        <w:t>行长职务。</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10.</w:t>
      </w:r>
      <w:proofErr w:type="gramStart"/>
      <w:r>
        <w:rPr>
          <w:rFonts w:asciiTheme="minorEastAsia" w:eastAsiaTheme="minorEastAsia" w:hAnsiTheme="minorEastAsia" w:cs="宋体"/>
          <w:b/>
          <w:kern w:val="0"/>
          <w:sz w:val="24"/>
          <w:szCs w:val="24"/>
        </w:rPr>
        <w:t>4</w:t>
      </w:r>
      <w:proofErr w:type="gramEnd"/>
      <w:r>
        <w:rPr>
          <w:rFonts w:asciiTheme="minorEastAsia" w:eastAsiaTheme="minorEastAsia" w:hAnsiTheme="minorEastAsia" w:cs="宋体"/>
          <w:b/>
          <w:kern w:val="0"/>
          <w:sz w:val="24"/>
          <w:szCs w:val="24"/>
        </w:rPr>
        <w:t>年度薪酬及激励情况</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10.4.1</w:t>
      </w:r>
      <w:r>
        <w:rPr>
          <w:rFonts w:asciiTheme="minorEastAsia" w:eastAsiaTheme="minorEastAsia" w:hAnsiTheme="minorEastAsia" w:cs="宋体"/>
          <w:b/>
          <w:kern w:val="0"/>
          <w:sz w:val="24"/>
          <w:szCs w:val="24"/>
        </w:rPr>
        <w:t>薪酬管理架构及决策程序</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本行董事会下设薪酬与提名管理委员会，经营管理层下设薪酬与绩效管理委员会，董事会负责战略规划，高级管理</w:t>
      </w:r>
      <w:proofErr w:type="gramStart"/>
      <w:r>
        <w:rPr>
          <w:rFonts w:asciiTheme="minorEastAsia" w:eastAsiaTheme="minorEastAsia" w:hAnsiTheme="minorEastAsia" w:cs="宋体"/>
          <w:kern w:val="0"/>
          <w:sz w:val="24"/>
          <w:szCs w:val="24"/>
        </w:rPr>
        <w:t>层按照</w:t>
      </w:r>
      <w:proofErr w:type="gramEnd"/>
      <w:r>
        <w:rPr>
          <w:rFonts w:asciiTheme="minorEastAsia" w:eastAsiaTheme="minorEastAsia" w:hAnsiTheme="minorEastAsia" w:cs="宋体"/>
          <w:kern w:val="0"/>
          <w:sz w:val="24"/>
          <w:szCs w:val="24"/>
        </w:rPr>
        <w:t>董事会批准的年度经营计划，组织各相关业务部门制定条线绩效考核方案，报总行绩效考核工作领导小组审定后， 人力资源部和计划财务部牵头组织实施绩效考核及薪酬管理。</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10.4.</w:t>
      </w:r>
      <w:proofErr w:type="gramStart"/>
      <w:r>
        <w:rPr>
          <w:rFonts w:asciiTheme="minorEastAsia" w:eastAsiaTheme="minorEastAsia" w:hAnsiTheme="minorEastAsia" w:cs="宋体" w:hint="eastAsia"/>
          <w:b/>
          <w:kern w:val="0"/>
          <w:sz w:val="24"/>
          <w:szCs w:val="24"/>
        </w:rPr>
        <w:t>2</w:t>
      </w:r>
      <w:proofErr w:type="gramEnd"/>
      <w:r>
        <w:rPr>
          <w:rFonts w:asciiTheme="minorEastAsia" w:eastAsiaTheme="minorEastAsia" w:hAnsiTheme="minorEastAsia" w:cs="宋体"/>
          <w:b/>
          <w:kern w:val="0"/>
          <w:sz w:val="24"/>
          <w:szCs w:val="24"/>
        </w:rPr>
        <w:t>年度薪酬总量、受益人、薪酬结构分布</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本行薪酬总量包括工资性收入和福利性收入两部分。202</w:t>
      </w:r>
      <w:r>
        <w:rPr>
          <w:rFonts w:asciiTheme="minorEastAsia" w:eastAsiaTheme="minorEastAsia" w:hAnsiTheme="minorEastAsia" w:cs="宋体" w:hint="eastAsia"/>
          <w:kern w:val="0"/>
          <w:sz w:val="24"/>
          <w:szCs w:val="24"/>
        </w:rPr>
        <w:t>3</w:t>
      </w:r>
      <w:r>
        <w:rPr>
          <w:rFonts w:asciiTheme="minorEastAsia" w:eastAsiaTheme="minorEastAsia" w:hAnsiTheme="minorEastAsia" w:cs="宋体"/>
          <w:kern w:val="0"/>
          <w:sz w:val="24"/>
          <w:szCs w:val="24"/>
        </w:rPr>
        <w:t>年度工资性收入</w:t>
      </w:r>
      <w:r>
        <w:rPr>
          <w:rFonts w:asciiTheme="minorEastAsia" w:eastAsiaTheme="minorEastAsia" w:hAnsiTheme="minorEastAsia" w:cs="宋体" w:hint="eastAsia"/>
          <w:kern w:val="0"/>
          <w:sz w:val="24"/>
          <w:szCs w:val="24"/>
        </w:rPr>
        <w:t>1.36</w:t>
      </w:r>
      <w:r>
        <w:rPr>
          <w:rFonts w:asciiTheme="minorEastAsia" w:eastAsiaTheme="minorEastAsia" w:hAnsiTheme="minorEastAsia" w:cs="宋体"/>
          <w:kern w:val="0"/>
          <w:sz w:val="24"/>
          <w:szCs w:val="24"/>
        </w:rPr>
        <w:t>亿元；福利性收入</w:t>
      </w:r>
      <w:r>
        <w:rPr>
          <w:rFonts w:asciiTheme="minorEastAsia" w:eastAsiaTheme="minorEastAsia" w:hAnsiTheme="minorEastAsia" w:cs="宋体" w:hint="eastAsia"/>
          <w:kern w:val="0"/>
          <w:sz w:val="24"/>
          <w:szCs w:val="24"/>
        </w:rPr>
        <w:t>0.3</w:t>
      </w:r>
      <w:r>
        <w:rPr>
          <w:rFonts w:asciiTheme="minorEastAsia" w:eastAsiaTheme="minorEastAsia" w:hAnsiTheme="minorEastAsia" w:cs="宋体"/>
          <w:kern w:val="0"/>
          <w:sz w:val="24"/>
          <w:szCs w:val="24"/>
        </w:rPr>
        <w:t>亿元，其中保险费</w:t>
      </w:r>
      <w:r>
        <w:rPr>
          <w:rFonts w:asciiTheme="minorEastAsia" w:eastAsiaTheme="minorEastAsia" w:hAnsiTheme="minorEastAsia" w:cs="宋体" w:hint="eastAsia"/>
          <w:kern w:val="0"/>
          <w:sz w:val="24"/>
          <w:szCs w:val="24"/>
        </w:rPr>
        <w:t>0.16</w:t>
      </w:r>
      <w:r>
        <w:rPr>
          <w:rFonts w:asciiTheme="minorEastAsia" w:eastAsiaTheme="minorEastAsia" w:hAnsiTheme="minorEastAsia" w:cs="宋体"/>
          <w:kern w:val="0"/>
          <w:sz w:val="24"/>
          <w:szCs w:val="24"/>
        </w:rPr>
        <w:t>亿元、住房公积金</w:t>
      </w:r>
      <w:r>
        <w:rPr>
          <w:rFonts w:asciiTheme="minorEastAsia" w:eastAsiaTheme="minorEastAsia" w:hAnsiTheme="minorEastAsia" w:cs="宋体" w:hint="eastAsia"/>
          <w:kern w:val="0"/>
          <w:sz w:val="24"/>
          <w:szCs w:val="24"/>
        </w:rPr>
        <w:t>0.14</w:t>
      </w:r>
      <w:r>
        <w:rPr>
          <w:rFonts w:asciiTheme="minorEastAsia" w:eastAsiaTheme="minorEastAsia" w:hAnsiTheme="minorEastAsia" w:cs="宋体"/>
          <w:kern w:val="0"/>
          <w:sz w:val="24"/>
          <w:szCs w:val="24"/>
        </w:rPr>
        <w:t>亿元。本行薪酬受益人为全体员工，薪酬结构主要包括固定工资、绩效奖励、专项奖励，以及津贴、补贴等构成。</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10.4.3</w:t>
      </w:r>
      <w:r>
        <w:rPr>
          <w:rFonts w:asciiTheme="minorEastAsia" w:eastAsiaTheme="minorEastAsia" w:hAnsiTheme="minorEastAsia" w:cs="宋体"/>
          <w:b/>
          <w:kern w:val="0"/>
          <w:sz w:val="24"/>
          <w:szCs w:val="24"/>
        </w:rPr>
        <w:t>薪酬与业绩衡量、风险调整的标准</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本行制定《</w:t>
      </w:r>
      <w:r>
        <w:rPr>
          <w:rFonts w:asciiTheme="minorEastAsia" w:eastAsiaTheme="minorEastAsia" w:hAnsiTheme="minorEastAsia" w:cs="宋体" w:hint="eastAsia"/>
          <w:kern w:val="0"/>
          <w:sz w:val="24"/>
          <w:szCs w:val="24"/>
        </w:rPr>
        <w:t>广东信宜农村商业银行股份有限公司</w:t>
      </w:r>
      <w:r>
        <w:rPr>
          <w:rFonts w:asciiTheme="minorEastAsia" w:eastAsiaTheme="minorEastAsia" w:hAnsiTheme="minorEastAsia" w:cs="宋体"/>
          <w:kern w:val="0"/>
          <w:sz w:val="24"/>
          <w:szCs w:val="24"/>
        </w:rPr>
        <w:t>2023年度绩效薪酬考核方案》等相关制度方案，明确薪酬与业绩衡量、风险调整的关系及标准。</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①</w:t>
      </w:r>
      <w:r>
        <w:rPr>
          <w:rFonts w:asciiTheme="minorEastAsia" w:eastAsiaTheme="minorEastAsia" w:hAnsiTheme="minorEastAsia" w:cs="宋体"/>
          <w:kern w:val="0"/>
          <w:sz w:val="24"/>
          <w:szCs w:val="24"/>
        </w:rPr>
        <w:t>薪酬发放与业绩挂钩。绩效考核方案明确“</w:t>
      </w:r>
      <w:r>
        <w:rPr>
          <w:rFonts w:asciiTheme="minorEastAsia" w:eastAsiaTheme="minorEastAsia" w:hAnsiTheme="minorEastAsia" w:cs="宋体" w:hint="eastAsia"/>
          <w:kern w:val="0"/>
          <w:sz w:val="24"/>
          <w:szCs w:val="24"/>
        </w:rPr>
        <w:t>按照省联社相关规定结合年度业务及经营发展目标，</w:t>
      </w:r>
      <w:r>
        <w:rPr>
          <w:rFonts w:asciiTheme="minorEastAsia" w:eastAsiaTheme="minorEastAsia" w:hAnsiTheme="minorEastAsia" w:cs="宋体"/>
          <w:kern w:val="0"/>
          <w:sz w:val="24"/>
          <w:szCs w:val="24"/>
        </w:rPr>
        <w:t>合理编制薪酬总额预算， 实现薪酬总额与经济效益、经营管理的联动”，确保了薪酬与经营目标的一致性。</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②</w:t>
      </w:r>
      <w:r>
        <w:rPr>
          <w:rFonts w:asciiTheme="minorEastAsia" w:eastAsiaTheme="minorEastAsia" w:hAnsiTheme="minorEastAsia" w:cs="宋体"/>
          <w:kern w:val="0"/>
          <w:sz w:val="24"/>
          <w:szCs w:val="24"/>
        </w:rPr>
        <w:t>风险调整标准。本行将风险调整和员工薪</w:t>
      </w:r>
      <w:proofErr w:type="gramStart"/>
      <w:r>
        <w:rPr>
          <w:rFonts w:asciiTheme="minorEastAsia" w:eastAsiaTheme="minorEastAsia" w:hAnsiTheme="minorEastAsia" w:cs="宋体"/>
          <w:kern w:val="0"/>
          <w:sz w:val="24"/>
          <w:szCs w:val="24"/>
        </w:rPr>
        <w:t>酬</w:t>
      </w:r>
      <w:proofErr w:type="gramEnd"/>
      <w:r>
        <w:rPr>
          <w:rFonts w:asciiTheme="minorEastAsia" w:eastAsiaTheme="minorEastAsia" w:hAnsiTheme="minorEastAsia" w:cs="宋体"/>
          <w:kern w:val="0"/>
          <w:sz w:val="24"/>
          <w:szCs w:val="24"/>
        </w:rPr>
        <w:t>绩效挂钩，明确</w:t>
      </w:r>
      <w:r>
        <w:rPr>
          <w:rFonts w:asciiTheme="minorEastAsia" w:eastAsiaTheme="minorEastAsia" w:hAnsiTheme="minorEastAsia" w:cs="宋体" w:hint="eastAsia"/>
          <w:kern w:val="0"/>
          <w:sz w:val="24"/>
          <w:szCs w:val="24"/>
        </w:rPr>
        <w:t>绩效考核指标权重向风险管理类、合</w:t>
      </w:r>
      <w:proofErr w:type="gramStart"/>
      <w:r>
        <w:rPr>
          <w:rFonts w:asciiTheme="minorEastAsia" w:eastAsiaTheme="minorEastAsia" w:hAnsiTheme="minorEastAsia" w:cs="宋体" w:hint="eastAsia"/>
          <w:kern w:val="0"/>
          <w:sz w:val="24"/>
          <w:szCs w:val="24"/>
        </w:rPr>
        <w:t>规</w:t>
      </w:r>
      <w:proofErr w:type="gramEnd"/>
      <w:r>
        <w:rPr>
          <w:rFonts w:asciiTheme="minorEastAsia" w:eastAsiaTheme="minorEastAsia" w:hAnsiTheme="minorEastAsia" w:cs="宋体" w:hint="eastAsia"/>
          <w:kern w:val="0"/>
          <w:sz w:val="24"/>
          <w:szCs w:val="24"/>
        </w:rPr>
        <w:t>经营类指标倾斜。</w:t>
      </w:r>
      <w:r>
        <w:rPr>
          <w:rFonts w:asciiTheme="minorEastAsia" w:eastAsiaTheme="minorEastAsia" w:hAnsiTheme="minorEastAsia" w:cs="宋体"/>
          <w:kern w:val="0"/>
          <w:sz w:val="24"/>
          <w:szCs w:val="24"/>
        </w:rPr>
        <w:t>通过设置</w:t>
      </w:r>
      <w:r>
        <w:rPr>
          <w:rFonts w:asciiTheme="minorEastAsia" w:eastAsiaTheme="minorEastAsia" w:hAnsiTheme="minorEastAsia" w:cs="宋体" w:hint="eastAsia"/>
          <w:kern w:val="0"/>
          <w:sz w:val="24"/>
          <w:szCs w:val="24"/>
        </w:rPr>
        <w:t>“正常贷款利息现金收回率”、“不良贷款处置”、“流动风险管理”等合</w:t>
      </w:r>
      <w:proofErr w:type="gramStart"/>
      <w:r>
        <w:rPr>
          <w:rFonts w:asciiTheme="minorEastAsia" w:eastAsiaTheme="minorEastAsia" w:hAnsiTheme="minorEastAsia" w:cs="宋体" w:hint="eastAsia"/>
          <w:kern w:val="0"/>
          <w:sz w:val="24"/>
          <w:szCs w:val="24"/>
        </w:rPr>
        <w:t>规</w:t>
      </w:r>
      <w:proofErr w:type="gramEnd"/>
      <w:r>
        <w:rPr>
          <w:rFonts w:asciiTheme="minorEastAsia" w:eastAsiaTheme="minorEastAsia" w:hAnsiTheme="minorEastAsia" w:cs="宋体" w:hint="eastAsia"/>
          <w:kern w:val="0"/>
          <w:sz w:val="24"/>
          <w:szCs w:val="24"/>
        </w:rPr>
        <w:t>风险类指标引导本行提升防范和化解风险的能力，</w:t>
      </w:r>
      <w:r>
        <w:rPr>
          <w:rFonts w:asciiTheme="minorEastAsia" w:eastAsiaTheme="minorEastAsia" w:hAnsiTheme="minorEastAsia" w:cs="宋体"/>
          <w:kern w:val="0"/>
          <w:sz w:val="24"/>
          <w:szCs w:val="24"/>
        </w:rPr>
        <w:t>从而充分保证风险调整对业务发展的导向作用</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守住不发生系统性风险的底线。</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lastRenderedPageBreak/>
        <w:t>10.4.4</w:t>
      </w:r>
      <w:r>
        <w:rPr>
          <w:rFonts w:asciiTheme="minorEastAsia" w:eastAsiaTheme="minorEastAsia" w:hAnsiTheme="minorEastAsia" w:cs="宋体"/>
          <w:b/>
          <w:kern w:val="0"/>
          <w:sz w:val="24"/>
          <w:szCs w:val="24"/>
        </w:rPr>
        <w:t>薪酬延期支付</w:t>
      </w:r>
      <w:r>
        <w:rPr>
          <w:rFonts w:asciiTheme="minorEastAsia" w:eastAsiaTheme="minorEastAsia" w:hAnsiTheme="minorEastAsia" w:cs="宋体" w:hint="eastAsia"/>
          <w:b/>
          <w:kern w:val="0"/>
          <w:sz w:val="24"/>
          <w:szCs w:val="24"/>
        </w:rPr>
        <w:t>、</w:t>
      </w:r>
      <w:r>
        <w:rPr>
          <w:rFonts w:asciiTheme="minorEastAsia" w:eastAsiaTheme="minorEastAsia" w:hAnsiTheme="minorEastAsia" w:cs="宋体"/>
          <w:b/>
          <w:kern w:val="0"/>
          <w:sz w:val="24"/>
          <w:szCs w:val="24"/>
        </w:rPr>
        <w:t>薪酬追索扣回和非现金薪酬情况</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①</w:t>
      </w:r>
      <w:r>
        <w:rPr>
          <w:rFonts w:asciiTheme="minorEastAsia" w:eastAsiaTheme="minorEastAsia" w:hAnsiTheme="minorEastAsia" w:cs="宋体"/>
          <w:kern w:val="0"/>
          <w:sz w:val="24"/>
          <w:szCs w:val="24"/>
        </w:rPr>
        <w:t>为树立激励与约束对等的薪酬改革理念，增强本行高级管理人员以及对风险有重要影响岗位员工的风险意识和管控意识，本行制定</w:t>
      </w:r>
      <w:r>
        <w:rPr>
          <w:rFonts w:asciiTheme="minorEastAsia" w:eastAsiaTheme="minorEastAsia" w:hAnsiTheme="minorEastAsia" w:cs="宋体" w:hint="eastAsia"/>
          <w:kern w:val="0"/>
          <w:sz w:val="24"/>
          <w:szCs w:val="24"/>
        </w:rPr>
        <w:t>《广东信宜农村商业银行股份有限公司薪酬延期支付管理办法（</w:t>
      </w:r>
      <w:r>
        <w:rPr>
          <w:rFonts w:asciiTheme="minorEastAsia" w:eastAsiaTheme="minorEastAsia" w:hAnsiTheme="minorEastAsia" w:cs="宋体"/>
          <w:kern w:val="0"/>
          <w:sz w:val="24"/>
          <w:szCs w:val="24"/>
        </w:rPr>
        <w:t>2023年第二版</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》，将</w:t>
      </w:r>
      <w:r>
        <w:rPr>
          <w:rFonts w:asciiTheme="minorEastAsia" w:eastAsiaTheme="minorEastAsia" w:hAnsiTheme="minorEastAsia" w:cs="宋体" w:hint="eastAsia"/>
          <w:kern w:val="0"/>
          <w:sz w:val="24"/>
          <w:szCs w:val="24"/>
        </w:rPr>
        <w:t>高级管理人员、对风险有重要影响岗位员工及其他涉及风险岗位员工</w:t>
      </w:r>
      <w:r>
        <w:rPr>
          <w:rFonts w:asciiTheme="minorEastAsia" w:eastAsiaTheme="minorEastAsia" w:hAnsiTheme="minorEastAsia" w:cs="宋体"/>
          <w:kern w:val="0"/>
          <w:sz w:val="24"/>
          <w:szCs w:val="24"/>
        </w:rPr>
        <w:t>均纳入延期支付对象。其中，高级管理人员递</w:t>
      </w:r>
      <w:proofErr w:type="gramStart"/>
      <w:r>
        <w:rPr>
          <w:rFonts w:asciiTheme="minorEastAsia" w:eastAsiaTheme="minorEastAsia" w:hAnsiTheme="minorEastAsia" w:cs="宋体"/>
          <w:kern w:val="0"/>
          <w:sz w:val="24"/>
          <w:szCs w:val="24"/>
        </w:rPr>
        <w:t>延支付</w:t>
      </w:r>
      <w:proofErr w:type="gramEnd"/>
      <w:r>
        <w:rPr>
          <w:rFonts w:asciiTheme="minorEastAsia" w:eastAsiaTheme="minorEastAsia" w:hAnsiTheme="minorEastAsia" w:cs="宋体"/>
          <w:kern w:val="0"/>
          <w:sz w:val="24"/>
          <w:szCs w:val="24"/>
        </w:rPr>
        <w:t>比例为50.1%，</w:t>
      </w:r>
      <w:r>
        <w:rPr>
          <w:rFonts w:asciiTheme="minorEastAsia" w:eastAsiaTheme="minorEastAsia" w:hAnsiTheme="minorEastAsia" w:cs="宋体" w:hint="eastAsia"/>
          <w:kern w:val="0"/>
          <w:sz w:val="24"/>
          <w:szCs w:val="24"/>
        </w:rPr>
        <w:t>对风险有重要影响岗位上员工</w:t>
      </w:r>
      <w:r>
        <w:rPr>
          <w:rFonts w:asciiTheme="minorEastAsia" w:eastAsiaTheme="minorEastAsia" w:hAnsiTheme="minorEastAsia" w:cs="宋体"/>
          <w:kern w:val="0"/>
          <w:sz w:val="24"/>
          <w:szCs w:val="24"/>
        </w:rPr>
        <w:t>的递</w:t>
      </w:r>
      <w:proofErr w:type="gramStart"/>
      <w:r>
        <w:rPr>
          <w:rFonts w:asciiTheme="minorEastAsia" w:eastAsiaTheme="minorEastAsia" w:hAnsiTheme="minorEastAsia" w:cs="宋体"/>
          <w:kern w:val="0"/>
          <w:sz w:val="24"/>
          <w:szCs w:val="24"/>
        </w:rPr>
        <w:t>延支付</w:t>
      </w:r>
      <w:proofErr w:type="gramEnd"/>
      <w:r>
        <w:rPr>
          <w:rFonts w:asciiTheme="minorEastAsia" w:eastAsiaTheme="minorEastAsia" w:hAnsiTheme="minorEastAsia" w:cs="宋体"/>
          <w:kern w:val="0"/>
          <w:sz w:val="24"/>
          <w:szCs w:val="24"/>
        </w:rPr>
        <w:t>比例为40.1%，</w:t>
      </w:r>
      <w:r>
        <w:rPr>
          <w:rFonts w:asciiTheme="minorEastAsia" w:eastAsiaTheme="minorEastAsia" w:hAnsiTheme="minorEastAsia" w:cs="宋体" w:hint="eastAsia"/>
          <w:kern w:val="0"/>
          <w:sz w:val="24"/>
          <w:szCs w:val="24"/>
        </w:rPr>
        <w:t>其他涉及风险岗位的员工递</w:t>
      </w:r>
      <w:proofErr w:type="gramStart"/>
      <w:r>
        <w:rPr>
          <w:rFonts w:asciiTheme="minorEastAsia" w:eastAsiaTheme="minorEastAsia" w:hAnsiTheme="minorEastAsia" w:cs="宋体" w:hint="eastAsia"/>
          <w:kern w:val="0"/>
          <w:sz w:val="24"/>
          <w:szCs w:val="24"/>
        </w:rPr>
        <w:t>延支付</w:t>
      </w:r>
      <w:proofErr w:type="gramEnd"/>
      <w:r>
        <w:rPr>
          <w:rFonts w:asciiTheme="minorEastAsia" w:eastAsiaTheme="minorEastAsia" w:hAnsiTheme="minorEastAsia" w:cs="宋体" w:hint="eastAsia"/>
          <w:kern w:val="0"/>
          <w:sz w:val="24"/>
          <w:szCs w:val="24"/>
        </w:rPr>
        <w:t>比例为</w:t>
      </w:r>
      <w:r>
        <w:rPr>
          <w:rFonts w:asciiTheme="minorEastAsia" w:eastAsiaTheme="minorEastAsia" w:hAnsiTheme="minorEastAsia" w:cs="宋体"/>
          <w:kern w:val="0"/>
          <w:sz w:val="24"/>
          <w:szCs w:val="24"/>
        </w:rPr>
        <w:t>20%。严格遵照上级监管部门的政策及要求执行薪酬延期支付工作。薪酬延付以3年作为支付周期，根据延期支付对象任职期间</w:t>
      </w:r>
      <w:r>
        <w:rPr>
          <w:rFonts w:asciiTheme="minorEastAsia" w:eastAsiaTheme="minorEastAsia" w:hAnsiTheme="minorEastAsia" w:cs="宋体" w:hint="eastAsia"/>
          <w:kern w:val="0"/>
          <w:sz w:val="24"/>
          <w:szCs w:val="24"/>
        </w:rPr>
        <w:t>年度考核结果及相关业务风险释放</w:t>
      </w:r>
      <w:r>
        <w:rPr>
          <w:rFonts w:asciiTheme="minorEastAsia" w:eastAsiaTheme="minorEastAsia" w:hAnsiTheme="minorEastAsia" w:cs="宋体"/>
          <w:kern w:val="0"/>
          <w:sz w:val="24"/>
          <w:szCs w:val="24"/>
        </w:rPr>
        <w:t>等相关情况，进行延期支付金额</w:t>
      </w:r>
      <w:r>
        <w:rPr>
          <w:rFonts w:asciiTheme="minorEastAsia" w:eastAsiaTheme="minorEastAsia" w:hAnsiTheme="minorEastAsia" w:cs="宋体" w:hint="eastAsia"/>
          <w:kern w:val="0"/>
          <w:sz w:val="24"/>
          <w:szCs w:val="24"/>
        </w:rPr>
        <w:t>兑付</w:t>
      </w:r>
      <w:r>
        <w:rPr>
          <w:rFonts w:asciiTheme="minorEastAsia" w:eastAsiaTheme="minorEastAsia" w:hAnsiTheme="minorEastAsia" w:cs="宋体"/>
          <w:kern w:val="0"/>
          <w:sz w:val="24"/>
          <w:szCs w:val="24"/>
        </w:rPr>
        <w:t>。报告期内，全行实行薪酬延期支付的对象共有</w:t>
      </w:r>
      <w:r>
        <w:rPr>
          <w:rFonts w:asciiTheme="minorEastAsia" w:eastAsiaTheme="minorEastAsia" w:hAnsiTheme="minorEastAsia" w:cs="宋体" w:hint="eastAsia"/>
          <w:kern w:val="0"/>
          <w:sz w:val="24"/>
          <w:szCs w:val="24"/>
        </w:rPr>
        <w:t>365</w:t>
      </w:r>
      <w:r>
        <w:rPr>
          <w:rFonts w:asciiTheme="minorEastAsia" w:eastAsiaTheme="minorEastAsia" w:hAnsiTheme="minorEastAsia" w:cs="宋体"/>
          <w:kern w:val="0"/>
          <w:sz w:val="24"/>
          <w:szCs w:val="24"/>
        </w:rPr>
        <w:t>人，延期支付总额</w:t>
      </w:r>
      <w:r>
        <w:rPr>
          <w:rFonts w:asciiTheme="minorEastAsia" w:eastAsiaTheme="minorEastAsia" w:hAnsiTheme="minorEastAsia" w:cs="宋体" w:hint="eastAsia"/>
          <w:kern w:val="0"/>
          <w:sz w:val="24"/>
          <w:szCs w:val="24"/>
        </w:rPr>
        <w:t>1,334.97</w:t>
      </w:r>
      <w:r>
        <w:rPr>
          <w:rFonts w:asciiTheme="minorEastAsia" w:eastAsiaTheme="minorEastAsia" w:hAnsiTheme="minorEastAsia" w:cs="宋体"/>
          <w:kern w:val="0"/>
          <w:sz w:val="24"/>
          <w:szCs w:val="24"/>
        </w:rPr>
        <w:t>万元。</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②为健全绩效薪酬激励约束机制，充分发挥绩效薪酬在本行经营管理中的导向作用，本行制定《广东信宜农村商业银行股份有限公司绩效薪酬追索扣回管理办法（</w:t>
      </w:r>
      <w:r>
        <w:rPr>
          <w:rFonts w:asciiTheme="minorEastAsia" w:eastAsiaTheme="minorEastAsia" w:hAnsiTheme="minorEastAsia" w:cs="宋体"/>
          <w:kern w:val="0"/>
          <w:sz w:val="24"/>
          <w:szCs w:val="24"/>
        </w:rPr>
        <w:t>2022年版）》，</w:t>
      </w:r>
      <w:r>
        <w:rPr>
          <w:rFonts w:asciiTheme="minorEastAsia" w:eastAsiaTheme="minorEastAsia" w:hAnsiTheme="minorEastAsia" w:cs="宋体" w:hint="eastAsia"/>
          <w:kern w:val="0"/>
          <w:sz w:val="24"/>
          <w:szCs w:val="24"/>
        </w:rPr>
        <w:t>制度包括绩效薪酬追索扣回的适用情形、追索扣回比例、工作程序、责任部门、争议处理、内部监督及问责等内容，</w:t>
      </w:r>
      <w:r>
        <w:rPr>
          <w:rFonts w:asciiTheme="minorEastAsia" w:eastAsiaTheme="minorEastAsia" w:hAnsiTheme="minorEastAsia" w:cs="宋体"/>
          <w:kern w:val="0"/>
          <w:sz w:val="24"/>
          <w:szCs w:val="24"/>
        </w:rPr>
        <w:t>明确绩效薪酬追索扣回对象包括高级管理人员和关键岗位人员</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对符合相关绩效薪酬追索扣回条件的人员，</w:t>
      </w:r>
      <w:r>
        <w:rPr>
          <w:rFonts w:asciiTheme="minorEastAsia" w:eastAsiaTheme="minorEastAsia" w:hAnsiTheme="minorEastAsia" w:cs="宋体" w:hint="eastAsia"/>
          <w:kern w:val="0"/>
          <w:sz w:val="24"/>
          <w:szCs w:val="24"/>
        </w:rPr>
        <w:t>本行将依据各责任人责任轻重追索扣回绩效薪酬。2023</w:t>
      </w:r>
      <w:r>
        <w:rPr>
          <w:rFonts w:asciiTheme="minorEastAsia" w:eastAsiaTheme="minorEastAsia" w:hAnsiTheme="minorEastAsia" w:cs="宋体"/>
          <w:kern w:val="0"/>
          <w:sz w:val="24"/>
          <w:szCs w:val="24"/>
        </w:rPr>
        <w:t>年本行</w:t>
      </w:r>
      <w:r>
        <w:rPr>
          <w:rFonts w:asciiTheme="minorEastAsia" w:eastAsiaTheme="minorEastAsia" w:hAnsiTheme="minorEastAsia" w:cs="宋体" w:hint="eastAsia"/>
          <w:kern w:val="0"/>
          <w:sz w:val="24"/>
          <w:szCs w:val="24"/>
        </w:rPr>
        <w:t>暂未发生</w:t>
      </w:r>
      <w:r>
        <w:rPr>
          <w:rFonts w:asciiTheme="minorEastAsia" w:eastAsiaTheme="minorEastAsia" w:hAnsiTheme="minorEastAsia" w:cs="宋体"/>
          <w:kern w:val="0"/>
          <w:sz w:val="24"/>
          <w:szCs w:val="24"/>
        </w:rPr>
        <w:t>绩效薪酬追索扣回处罚</w:t>
      </w:r>
      <w:r>
        <w:rPr>
          <w:rFonts w:asciiTheme="minorEastAsia" w:eastAsiaTheme="minorEastAsia" w:hAnsiTheme="minorEastAsia" w:cs="宋体" w:hint="eastAsia"/>
          <w:kern w:val="0"/>
          <w:sz w:val="24"/>
          <w:szCs w:val="24"/>
        </w:rPr>
        <w:t>。</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③</w:t>
      </w:r>
      <w:r>
        <w:rPr>
          <w:rFonts w:asciiTheme="minorEastAsia" w:eastAsiaTheme="minorEastAsia" w:hAnsiTheme="minorEastAsia" w:cs="宋体"/>
          <w:kern w:val="0"/>
          <w:sz w:val="24"/>
          <w:szCs w:val="24"/>
        </w:rPr>
        <w:t>本行非现金薪酬202</w:t>
      </w:r>
      <w:r>
        <w:rPr>
          <w:rFonts w:asciiTheme="minorEastAsia" w:eastAsiaTheme="minorEastAsia" w:hAnsiTheme="minorEastAsia" w:cs="宋体" w:hint="eastAsia"/>
          <w:kern w:val="0"/>
          <w:sz w:val="24"/>
          <w:szCs w:val="24"/>
        </w:rPr>
        <w:t>3</w:t>
      </w:r>
      <w:r>
        <w:rPr>
          <w:rFonts w:asciiTheme="minorEastAsia" w:eastAsiaTheme="minorEastAsia" w:hAnsiTheme="minorEastAsia" w:cs="宋体"/>
          <w:kern w:val="0"/>
          <w:sz w:val="24"/>
          <w:szCs w:val="24"/>
        </w:rPr>
        <w:t>年暂无列支。</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10.4.5</w:t>
      </w:r>
      <w:r>
        <w:rPr>
          <w:rFonts w:asciiTheme="minorEastAsia" w:eastAsiaTheme="minorEastAsia" w:hAnsiTheme="minorEastAsia" w:cs="宋体"/>
          <w:b/>
          <w:kern w:val="0"/>
          <w:sz w:val="24"/>
          <w:szCs w:val="24"/>
        </w:rPr>
        <w:t>董事会、高级管理层和对银行风险有重要影响岗位员工的薪酬信息</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报告期内，</w:t>
      </w:r>
      <w:r>
        <w:rPr>
          <w:rFonts w:asciiTheme="minorEastAsia" w:eastAsiaTheme="minorEastAsia" w:hAnsiTheme="minorEastAsia" w:cs="宋体" w:hint="eastAsia"/>
          <w:kern w:val="0"/>
          <w:sz w:val="24"/>
          <w:szCs w:val="24"/>
        </w:rPr>
        <w:t>本行董事、监事、高级管理人员薪酬根据《广东省农村合作金融机构工资总额管理办法（</w:t>
      </w:r>
      <w:r>
        <w:rPr>
          <w:rFonts w:asciiTheme="minorEastAsia" w:eastAsiaTheme="minorEastAsia" w:hAnsiTheme="minorEastAsia" w:cs="宋体"/>
          <w:kern w:val="0"/>
          <w:sz w:val="24"/>
          <w:szCs w:val="24"/>
        </w:rPr>
        <w:t>2018年版）》《广东省农村合作金融机构高管薪酬管理办法（2018年版）》和《</w:t>
      </w:r>
      <w:r>
        <w:rPr>
          <w:rFonts w:asciiTheme="minorEastAsia" w:eastAsiaTheme="minorEastAsia" w:hAnsiTheme="minorEastAsia" w:cs="宋体" w:hint="eastAsia"/>
          <w:kern w:val="0"/>
          <w:sz w:val="24"/>
          <w:szCs w:val="24"/>
        </w:rPr>
        <w:t>广东信宜农村商业银行股份有限公司董事和高级管理人员薪酬管理办法（</w:t>
      </w:r>
      <w:r>
        <w:rPr>
          <w:rFonts w:asciiTheme="minorEastAsia" w:eastAsiaTheme="minorEastAsia" w:hAnsiTheme="minorEastAsia" w:cs="宋体"/>
          <w:kern w:val="0"/>
          <w:sz w:val="24"/>
          <w:szCs w:val="24"/>
        </w:rPr>
        <w:t>2023年版）》等规定执行。</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10.4.</w:t>
      </w:r>
      <w:proofErr w:type="gramStart"/>
      <w:r>
        <w:rPr>
          <w:rFonts w:asciiTheme="minorEastAsia" w:eastAsiaTheme="minorEastAsia" w:hAnsiTheme="minorEastAsia" w:cs="宋体" w:hint="eastAsia"/>
          <w:b/>
          <w:kern w:val="0"/>
          <w:sz w:val="24"/>
          <w:szCs w:val="24"/>
        </w:rPr>
        <w:t>6</w:t>
      </w:r>
      <w:proofErr w:type="gramEnd"/>
      <w:r>
        <w:rPr>
          <w:rFonts w:asciiTheme="minorEastAsia" w:eastAsiaTheme="minorEastAsia" w:hAnsiTheme="minorEastAsia" w:cs="宋体"/>
          <w:b/>
          <w:kern w:val="0"/>
          <w:sz w:val="24"/>
          <w:szCs w:val="24"/>
        </w:rPr>
        <w:t>年度薪酬方案制定、备案及经济、风险和社会责任指标完成考核情况</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本行制定完善的《</w:t>
      </w:r>
      <w:r>
        <w:rPr>
          <w:rFonts w:asciiTheme="minorEastAsia" w:eastAsiaTheme="minorEastAsia" w:hAnsiTheme="minorEastAsia" w:cs="宋体" w:hint="eastAsia"/>
          <w:kern w:val="0"/>
          <w:sz w:val="24"/>
          <w:szCs w:val="24"/>
        </w:rPr>
        <w:t>广东信宜农村商业银行股份有限公司</w:t>
      </w:r>
      <w:r>
        <w:rPr>
          <w:rFonts w:asciiTheme="minorEastAsia" w:eastAsiaTheme="minorEastAsia" w:hAnsiTheme="minorEastAsia" w:cs="宋体"/>
          <w:kern w:val="0"/>
          <w:sz w:val="24"/>
          <w:szCs w:val="24"/>
        </w:rPr>
        <w:t>2023年度绩效薪酬考核方案》</w:t>
      </w:r>
      <w:r>
        <w:rPr>
          <w:rFonts w:asciiTheme="minorEastAsia" w:eastAsiaTheme="minorEastAsia" w:hAnsiTheme="minorEastAsia" w:cs="宋体" w:hint="eastAsia"/>
          <w:kern w:val="0"/>
          <w:sz w:val="24"/>
          <w:szCs w:val="24"/>
        </w:rPr>
        <w:t>《广东信宜农村商业银行股份有限公司薪酬管理办法（</w:t>
      </w:r>
      <w:r>
        <w:rPr>
          <w:rFonts w:asciiTheme="minorEastAsia" w:eastAsiaTheme="minorEastAsia" w:hAnsiTheme="minorEastAsia" w:cs="宋体"/>
          <w:kern w:val="0"/>
          <w:sz w:val="24"/>
          <w:szCs w:val="24"/>
        </w:rPr>
        <w:t>2023年版）》</w:t>
      </w:r>
      <w:r>
        <w:rPr>
          <w:rFonts w:asciiTheme="minorEastAsia" w:eastAsiaTheme="minorEastAsia" w:hAnsiTheme="minorEastAsia" w:cs="宋体" w:hint="eastAsia"/>
          <w:kern w:val="0"/>
          <w:sz w:val="24"/>
          <w:szCs w:val="24"/>
        </w:rPr>
        <w:t>《广东信宜农村商业银行股份有限公司薪酬延期支付管理办法（</w:t>
      </w:r>
      <w:r>
        <w:rPr>
          <w:rFonts w:asciiTheme="minorEastAsia" w:eastAsiaTheme="minorEastAsia" w:hAnsiTheme="minorEastAsia" w:cs="宋体"/>
          <w:kern w:val="0"/>
          <w:sz w:val="24"/>
          <w:szCs w:val="24"/>
        </w:rPr>
        <w:t>2023年第二版）》</w:t>
      </w:r>
      <w:r>
        <w:rPr>
          <w:rFonts w:asciiTheme="minorEastAsia" w:eastAsiaTheme="minorEastAsia" w:hAnsiTheme="minorEastAsia" w:cs="宋体" w:hint="eastAsia"/>
          <w:kern w:val="0"/>
          <w:sz w:val="24"/>
          <w:szCs w:val="24"/>
        </w:rPr>
        <w:t>和《广东信宜农村</w:t>
      </w:r>
      <w:r>
        <w:rPr>
          <w:rFonts w:asciiTheme="minorEastAsia" w:eastAsiaTheme="minorEastAsia" w:hAnsiTheme="minorEastAsia" w:cs="宋体" w:hint="eastAsia"/>
          <w:kern w:val="0"/>
          <w:sz w:val="24"/>
          <w:szCs w:val="24"/>
        </w:rPr>
        <w:lastRenderedPageBreak/>
        <w:t>商业银行股份有限公司绩效薪酬追索扣回管理办法（</w:t>
      </w:r>
      <w:r>
        <w:rPr>
          <w:rFonts w:asciiTheme="minorEastAsia" w:eastAsiaTheme="minorEastAsia" w:hAnsiTheme="minorEastAsia" w:cs="宋体"/>
          <w:kern w:val="0"/>
          <w:sz w:val="24"/>
          <w:szCs w:val="24"/>
        </w:rPr>
        <w:t>2022年版）》等薪酬制度。其中，202</w:t>
      </w:r>
      <w:r>
        <w:rPr>
          <w:rFonts w:asciiTheme="minorEastAsia" w:eastAsiaTheme="minorEastAsia" w:hAnsiTheme="minorEastAsia" w:cs="宋体" w:hint="eastAsia"/>
          <w:kern w:val="0"/>
          <w:sz w:val="24"/>
          <w:szCs w:val="24"/>
        </w:rPr>
        <w:t>3</w:t>
      </w:r>
      <w:r>
        <w:rPr>
          <w:rFonts w:asciiTheme="minorEastAsia" w:eastAsiaTheme="minorEastAsia" w:hAnsiTheme="minorEastAsia" w:cs="宋体"/>
          <w:kern w:val="0"/>
          <w:sz w:val="24"/>
          <w:szCs w:val="24"/>
        </w:rPr>
        <w:t>年度绩效薪酬考核方案经由董事会审议后做好备案工作。</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根据《</w:t>
      </w:r>
      <w:r>
        <w:rPr>
          <w:rFonts w:asciiTheme="minorEastAsia" w:eastAsiaTheme="minorEastAsia" w:hAnsiTheme="minorEastAsia" w:cs="宋体" w:hint="eastAsia"/>
          <w:kern w:val="0"/>
          <w:sz w:val="24"/>
          <w:szCs w:val="24"/>
        </w:rPr>
        <w:t>广东信宜农村商业银行股份有限公司</w:t>
      </w:r>
      <w:r>
        <w:rPr>
          <w:rFonts w:asciiTheme="minorEastAsia" w:eastAsiaTheme="minorEastAsia" w:hAnsiTheme="minorEastAsia" w:cs="宋体"/>
          <w:kern w:val="0"/>
          <w:sz w:val="24"/>
          <w:szCs w:val="24"/>
        </w:rPr>
        <w:t>202</w:t>
      </w:r>
      <w:r>
        <w:rPr>
          <w:rFonts w:asciiTheme="minorEastAsia" w:eastAsiaTheme="minorEastAsia" w:hAnsiTheme="minorEastAsia" w:cs="宋体" w:hint="eastAsia"/>
          <w:kern w:val="0"/>
          <w:sz w:val="24"/>
          <w:szCs w:val="24"/>
        </w:rPr>
        <w:t>3</w:t>
      </w:r>
      <w:r>
        <w:rPr>
          <w:rFonts w:asciiTheme="minorEastAsia" w:eastAsiaTheme="minorEastAsia" w:hAnsiTheme="minorEastAsia" w:cs="宋体"/>
          <w:kern w:val="0"/>
          <w:sz w:val="24"/>
          <w:szCs w:val="24"/>
        </w:rPr>
        <w:t>年度绩效薪酬考核方案》要求，通过计分、计价、个人履职考评及业务条线专项考核相结合的方式开展绩效考核，以存款、贷款、利润为考核核心，主要从战略、经营、管理、内部运营和学习成长等维度进行考核指标设置。其中，经营指标主要反映202</w:t>
      </w:r>
      <w:r>
        <w:rPr>
          <w:rFonts w:asciiTheme="minorEastAsia" w:eastAsiaTheme="minorEastAsia" w:hAnsiTheme="minorEastAsia" w:cs="宋体" w:hint="eastAsia"/>
          <w:kern w:val="0"/>
          <w:sz w:val="24"/>
          <w:szCs w:val="24"/>
        </w:rPr>
        <w:t>3</w:t>
      </w:r>
      <w:r>
        <w:rPr>
          <w:rFonts w:asciiTheme="minorEastAsia" w:eastAsiaTheme="minorEastAsia" w:hAnsiTheme="minorEastAsia" w:cs="宋体"/>
          <w:kern w:val="0"/>
          <w:sz w:val="24"/>
          <w:szCs w:val="24"/>
        </w:rPr>
        <w:t>年度经营目标考核，</w:t>
      </w:r>
      <w:r>
        <w:rPr>
          <w:rFonts w:asciiTheme="minorEastAsia" w:eastAsiaTheme="minorEastAsia" w:hAnsiTheme="minorEastAsia" w:cs="宋体" w:hint="eastAsia"/>
          <w:kern w:val="0"/>
          <w:sz w:val="24"/>
          <w:szCs w:val="24"/>
        </w:rPr>
        <w:t>合</w:t>
      </w:r>
      <w:proofErr w:type="gramStart"/>
      <w:r>
        <w:rPr>
          <w:rFonts w:asciiTheme="minorEastAsia" w:eastAsiaTheme="minorEastAsia" w:hAnsiTheme="minorEastAsia" w:cs="宋体" w:hint="eastAsia"/>
          <w:kern w:val="0"/>
          <w:sz w:val="24"/>
          <w:szCs w:val="24"/>
        </w:rPr>
        <w:t>规</w:t>
      </w:r>
      <w:proofErr w:type="gramEnd"/>
      <w:r>
        <w:rPr>
          <w:rFonts w:asciiTheme="minorEastAsia" w:eastAsiaTheme="minorEastAsia" w:hAnsiTheme="minorEastAsia" w:cs="宋体"/>
          <w:kern w:val="0"/>
          <w:sz w:val="24"/>
          <w:szCs w:val="24"/>
        </w:rPr>
        <w:t>经营类和</w:t>
      </w:r>
      <w:r>
        <w:rPr>
          <w:rFonts w:asciiTheme="minorEastAsia" w:eastAsiaTheme="minorEastAsia" w:hAnsiTheme="minorEastAsia" w:cs="宋体" w:hint="eastAsia"/>
          <w:kern w:val="0"/>
          <w:sz w:val="24"/>
          <w:szCs w:val="24"/>
        </w:rPr>
        <w:t>风险</w:t>
      </w:r>
      <w:r>
        <w:rPr>
          <w:rFonts w:asciiTheme="minorEastAsia" w:eastAsiaTheme="minorEastAsia" w:hAnsiTheme="minorEastAsia" w:cs="宋体"/>
          <w:kern w:val="0"/>
          <w:sz w:val="24"/>
          <w:szCs w:val="24"/>
        </w:rPr>
        <w:t>管理类指标主要考核机构的风险防控及内控管理能力，分别设置</w:t>
      </w:r>
      <w:r>
        <w:rPr>
          <w:rFonts w:asciiTheme="minorEastAsia" w:eastAsiaTheme="minorEastAsia" w:hAnsiTheme="minorEastAsia" w:cs="宋体" w:hint="eastAsia"/>
          <w:kern w:val="0"/>
          <w:sz w:val="24"/>
          <w:szCs w:val="24"/>
        </w:rPr>
        <w:t>正常贷款利息现金收回率、不良贷款处置</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流动性风险管理</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案件防控、内外监督与整改</w:t>
      </w:r>
      <w:r>
        <w:rPr>
          <w:rFonts w:asciiTheme="minorEastAsia" w:eastAsiaTheme="minorEastAsia" w:hAnsiTheme="minorEastAsia" w:cs="宋体"/>
          <w:kern w:val="0"/>
          <w:sz w:val="24"/>
          <w:szCs w:val="24"/>
        </w:rPr>
        <w:t>等指标。合</w:t>
      </w:r>
      <w:proofErr w:type="gramStart"/>
      <w:r>
        <w:rPr>
          <w:rFonts w:asciiTheme="minorEastAsia" w:eastAsiaTheme="minorEastAsia" w:hAnsiTheme="minorEastAsia" w:cs="宋体"/>
          <w:kern w:val="0"/>
          <w:sz w:val="24"/>
          <w:szCs w:val="24"/>
        </w:rPr>
        <w:t>规</w:t>
      </w:r>
      <w:proofErr w:type="gramEnd"/>
      <w:r>
        <w:rPr>
          <w:rFonts w:asciiTheme="minorEastAsia" w:eastAsiaTheme="minorEastAsia" w:hAnsiTheme="minorEastAsia" w:cs="宋体"/>
          <w:kern w:val="0"/>
          <w:sz w:val="24"/>
          <w:szCs w:val="24"/>
        </w:rPr>
        <w:t>经营类指标和风险管理类指标权重明显高于其他类指标。</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10.4.7</w:t>
      </w:r>
      <w:r>
        <w:rPr>
          <w:rFonts w:asciiTheme="minorEastAsia" w:eastAsiaTheme="minorEastAsia" w:hAnsiTheme="minorEastAsia" w:cs="宋体"/>
          <w:b/>
          <w:kern w:val="0"/>
          <w:sz w:val="24"/>
          <w:szCs w:val="24"/>
        </w:rPr>
        <w:t>超出原定薪酬方案的例外情况，包括影响因素，以及薪酬变动的结构、形式、数量和收益对象等</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报告期内，本行薪酬分配在</w:t>
      </w:r>
      <w:proofErr w:type="gramStart"/>
      <w:r>
        <w:rPr>
          <w:rFonts w:asciiTheme="minorEastAsia" w:eastAsiaTheme="minorEastAsia" w:hAnsiTheme="minorEastAsia" w:cs="宋体" w:hint="eastAsia"/>
          <w:kern w:val="0"/>
          <w:sz w:val="24"/>
          <w:szCs w:val="24"/>
        </w:rPr>
        <w:t>《</w:t>
      </w:r>
      <w:proofErr w:type="gramEnd"/>
      <w:r>
        <w:rPr>
          <w:rFonts w:asciiTheme="minorEastAsia" w:eastAsiaTheme="minorEastAsia" w:hAnsiTheme="minorEastAsia" w:cs="宋体" w:hint="eastAsia"/>
          <w:kern w:val="0"/>
          <w:sz w:val="24"/>
          <w:szCs w:val="24"/>
        </w:rPr>
        <w:t>广东省农村合作金融机构工资总额管理</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办法（</w:t>
      </w:r>
      <w:r>
        <w:rPr>
          <w:rFonts w:asciiTheme="minorEastAsia" w:eastAsiaTheme="minorEastAsia" w:hAnsiTheme="minorEastAsia" w:cs="宋体"/>
          <w:kern w:val="0"/>
          <w:sz w:val="24"/>
          <w:szCs w:val="24"/>
        </w:rPr>
        <w:t>2018年版）</w:t>
      </w:r>
      <w:proofErr w:type="gramStart"/>
      <w:r>
        <w:rPr>
          <w:rFonts w:asciiTheme="minorEastAsia" w:eastAsiaTheme="minorEastAsia" w:hAnsiTheme="minorEastAsia" w:cs="宋体"/>
          <w:kern w:val="0"/>
          <w:sz w:val="24"/>
          <w:szCs w:val="24"/>
        </w:rPr>
        <w:t>》</w:t>
      </w:r>
      <w:proofErr w:type="gramEnd"/>
      <w:r>
        <w:rPr>
          <w:rFonts w:asciiTheme="minorEastAsia" w:eastAsiaTheme="minorEastAsia" w:hAnsiTheme="minorEastAsia" w:cs="宋体"/>
          <w:kern w:val="0"/>
          <w:sz w:val="24"/>
          <w:szCs w:val="24"/>
        </w:rPr>
        <w:t>规定的工资总额范围内，不存在超出薪酬方案的例外情况。</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10.4.8</w:t>
      </w:r>
      <w:r>
        <w:rPr>
          <w:rFonts w:asciiTheme="minorEastAsia" w:eastAsiaTheme="minorEastAsia" w:hAnsiTheme="minorEastAsia" w:cs="宋体"/>
          <w:b/>
          <w:kern w:val="0"/>
          <w:sz w:val="24"/>
          <w:szCs w:val="24"/>
        </w:rPr>
        <w:t>商业银行薪酬制度及当年董事、监事和高级管理人员薪酬</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报告期内，本行职工董事、职工监事和高级管理人员（包括总行领导班子、行长助理</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董事会秘书、内审部门负责人、合</w:t>
      </w:r>
      <w:proofErr w:type="gramStart"/>
      <w:r>
        <w:rPr>
          <w:rFonts w:asciiTheme="minorEastAsia" w:eastAsiaTheme="minorEastAsia" w:hAnsiTheme="minorEastAsia" w:cs="宋体"/>
          <w:kern w:val="0"/>
          <w:sz w:val="24"/>
          <w:szCs w:val="24"/>
        </w:rPr>
        <w:t>规</w:t>
      </w:r>
      <w:proofErr w:type="gramEnd"/>
      <w:r>
        <w:rPr>
          <w:rFonts w:asciiTheme="minorEastAsia" w:eastAsiaTheme="minorEastAsia" w:hAnsiTheme="minorEastAsia" w:cs="宋体"/>
          <w:kern w:val="0"/>
          <w:sz w:val="24"/>
          <w:szCs w:val="24"/>
        </w:rPr>
        <w:t>部门负责人、财务部门负责人）均按照本行绩效考核发放薪酬，其中高级管理人员全年应发工资总额约为</w:t>
      </w:r>
      <w:r>
        <w:rPr>
          <w:rFonts w:asciiTheme="minorEastAsia" w:eastAsiaTheme="minorEastAsia" w:hAnsiTheme="minorEastAsia" w:cs="宋体" w:hint="eastAsia"/>
          <w:kern w:val="0"/>
          <w:sz w:val="24"/>
          <w:szCs w:val="24"/>
        </w:rPr>
        <w:t>648.49</w:t>
      </w:r>
      <w:r>
        <w:rPr>
          <w:rFonts w:asciiTheme="minorEastAsia" w:eastAsiaTheme="minorEastAsia" w:hAnsiTheme="minorEastAsia" w:cs="宋体"/>
          <w:kern w:val="0"/>
          <w:sz w:val="24"/>
          <w:szCs w:val="24"/>
        </w:rPr>
        <w:t>万元；非</w:t>
      </w:r>
      <w:r>
        <w:rPr>
          <w:rFonts w:asciiTheme="minorEastAsia" w:eastAsiaTheme="minorEastAsia" w:hAnsiTheme="minorEastAsia" w:cs="宋体" w:hint="eastAsia"/>
          <w:kern w:val="0"/>
          <w:sz w:val="24"/>
          <w:szCs w:val="24"/>
        </w:rPr>
        <w:t>执行</w:t>
      </w:r>
      <w:r>
        <w:rPr>
          <w:rFonts w:asciiTheme="minorEastAsia" w:eastAsiaTheme="minorEastAsia" w:hAnsiTheme="minorEastAsia" w:cs="宋体"/>
          <w:kern w:val="0"/>
          <w:sz w:val="24"/>
          <w:szCs w:val="24"/>
        </w:rPr>
        <w:t>董事、外部监事</w:t>
      </w:r>
      <w:r>
        <w:rPr>
          <w:rFonts w:asciiTheme="minorEastAsia" w:eastAsiaTheme="minorEastAsia" w:hAnsiTheme="minorEastAsia" w:cs="宋体" w:hint="eastAsia"/>
          <w:kern w:val="0"/>
          <w:sz w:val="24"/>
          <w:szCs w:val="24"/>
        </w:rPr>
        <w:t>薪酬</w:t>
      </w:r>
      <w:r>
        <w:rPr>
          <w:rFonts w:asciiTheme="minorEastAsia" w:eastAsiaTheme="minorEastAsia" w:hAnsiTheme="minorEastAsia" w:cs="宋体"/>
          <w:kern w:val="0"/>
          <w:sz w:val="24"/>
          <w:szCs w:val="24"/>
        </w:rPr>
        <w:t>约为</w:t>
      </w:r>
      <w:r>
        <w:rPr>
          <w:rFonts w:asciiTheme="minorEastAsia" w:eastAsiaTheme="minorEastAsia" w:hAnsiTheme="minorEastAsia" w:cs="宋体" w:hint="eastAsia"/>
          <w:kern w:val="0"/>
          <w:sz w:val="24"/>
          <w:szCs w:val="24"/>
        </w:rPr>
        <w:t>57.80</w:t>
      </w:r>
      <w:r>
        <w:rPr>
          <w:rFonts w:asciiTheme="minorEastAsia" w:eastAsiaTheme="minorEastAsia" w:hAnsiTheme="minorEastAsia" w:cs="宋体"/>
          <w:kern w:val="0"/>
          <w:sz w:val="24"/>
          <w:szCs w:val="24"/>
        </w:rPr>
        <w:t>万元。</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10.5本行员工情况</w:t>
      </w: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w:t>
      </w:r>
      <w:r>
        <w:rPr>
          <w:rFonts w:asciiTheme="minorEastAsia" w:eastAsiaTheme="minorEastAsia" w:hAnsiTheme="minorEastAsia" w:cs="宋体"/>
          <w:kern w:val="0"/>
          <w:sz w:val="24"/>
          <w:szCs w:val="24"/>
        </w:rPr>
        <w:t>报告期末，本行在职员工</w:t>
      </w:r>
      <w:r>
        <w:rPr>
          <w:rFonts w:asciiTheme="minorEastAsia" w:eastAsiaTheme="minorEastAsia" w:hAnsiTheme="minorEastAsia" w:cs="宋体" w:hint="eastAsia"/>
          <w:kern w:val="0"/>
          <w:sz w:val="24"/>
          <w:szCs w:val="24"/>
        </w:rPr>
        <w:t>780</w:t>
      </w:r>
      <w:r>
        <w:rPr>
          <w:rFonts w:asciiTheme="minorEastAsia" w:eastAsiaTheme="minorEastAsia" w:hAnsiTheme="minorEastAsia" w:cs="宋体"/>
          <w:kern w:val="0"/>
          <w:sz w:val="24"/>
          <w:szCs w:val="24"/>
        </w:rPr>
        <w:t>人。其中研究生及以上占比</w:t>
      </w:r>
      <w:r>
        <w:rPr>
          <w:rFonts w:asciiTheme="minorEastAsia" w:eastAsiaTheme="minorEastAsia" w:hAnsiTheme="minorEastAsia" w:cs="宋体" w:hint="eastAsia"/>
          <w:kern w:val="0"/>
          <w:sz w:val="24"/>
          <w:szCs w:val="24"/>
        </w:rPr>
        <w:t>0.13</w:t>
      </w:r>
      <w:r>
        <w:rPr>
          <w:rFonts w:asciiTheme="minorEastAsia" w:eastAsiaTheme="minorEastAsia" w:hAnsiTheme="minorEastAsia" w:cs="宋体"/>
          <w:kern w:val="0"/>
          <w:sz w:val="24"/>
          <w:szCs w:val="24"/>
        </w:rPr>
        <w:t>%，大学本科占比</w:t>
      </w:r>
      <w:r>
        <w:rPr>
          <w:rFonts w:asciiTheme="minorEastAsia" w:eastAsiaTheme="minorEastAsia" w:hAnsiTheme="minorEastAsia" w:cs="宋体" w:hint="eastAsia"/>
          <w:kern w:val="0"/>
          <w:sz w:val="24"/>
          <w:szCs w:val="24"/>
        </w:rPr>
        <w:t>41.67</w:t>
      </w:r>
      <w:r>
        <w:rPr>
          <w:rFonts w:asciiTheme="minorEastAsia" w:eastAsiaTheme="minorEastAsia" w:hAnsiTheme="minorEastAsia" w:cs="宋体"/>
          <w:kern w:val="0"/>
          <w:sz w:val="24"/>
          <w:szCs w:val="24"/>
        </w:rPr>
        <w:t>%，大专占比</w:t>
      </w:r>
      <w:r>
        <w:rPr>
          <w:rFonts w:asciiTheme="minorEastAsia" w:eastAsiaTheme="minorEastAsia" w:hAnsiTheme="minorEastAsia" w:cs="宋体" w:hint="eastAsia"/>
          <w:kern w:val="0"/>
          <w:sz w:val="24"/>
          <w:szCs w:val="24"/>
        </w:rPr>
        <w:t>51.02</w:t>
      </w:r>
      <w:r>
        <w:rPr>
          <w:rFonts w:asciiTheme="minorEastAsia" w:eastAsiaTheme="minorEastAsia" w:hAnsiTheme="minorEastAsia" w:cs="宋体"/>
          <w:kern w:val="0"/>
          <w:sz w:val="24"/>
          <w:szCs w:val="24"/>
        </w:rPr>
        <w:t>%，中专及以下占比</w:t>
      </w:r>
      <w:r>
        <w:rPr>
          <w:rFonts w:asciiTheme="minorEastAsia" w:eastAsiaTheme="minorEastAsia" w:hAnsiTheme="minorEastAsia" w:cs="宋体" w:hint="eastAsia"/>
          <w:kern w:val="0"/>
          <w:sz w:val="24"/>
          <w:szCs w:val="24"/>
        </w:rPr>
        <w:t>7.18</w:t>
      </w:r>
      <w:r>
        <w:rPr>
          <w:rFonts w:asciiTheme="minorEastAsia" w:eastAsiaTheme="minorEastAsia" w:hAnsiTheme="minorEastAsia" w:cs="宋体"/>
          <w:kern w:val="0"/>
          <w:sz w:val="24"/>
          <w:szCs w:val="24"/>
        </w:rPr>
        <w:t>%；30岁以下占比</w:t>
      </w:r>
      <w:r>
        <w:rPr>
          <w:rFonts w:asciiTheme="minorEastAsia" w:eastAsiaTheme="minorEastAsia" w:hAnsiTheme="minorEastAsia" w:cs="宋体" w:hint="eastAsia"/>
          <w:kern w:val="0"/>
          <w:sz w:val="24"/>
          <w:szCs w:val="24"/>
        </w:rPr>
        <w:t>10.77</w:t>
      </w:r>
      <w:r>
        <w:rPr>
          <w:rFonts w:asciiTheme="minorEastAsia" w:eastAsiaTheme="minorEastAsia" w:hAnsiTheme="minorEastAsia" w:cs="宋体"/>
          <w:kern w:val="0"/>
          <w:sz w:val="24"/>
          <w:szCs w:val="24"/>
        </w:rPr>
        <w:t>%，31-35岁占比</w:t>
      </w:r>
      <w:r>
        <w:rPr>
          <w:rFonts w:asciiTheme="minorEastAsia" w:eastAsiaTheme="minorEastAsia" w:hAnsiTheme="minorEastAsia" w:cs="宋体" w:hint="eastAsia"/>
          <w:kern w:val="0"/>
          <w:sz w:val="24"/>
          <w:szCs w:val="24"/>
        </w:rPr>
        <w:t>18.59</w:t>
      </w:r>
      <w:r>
        <w:rPr>
          <w:rFonts w:asciiTheme="minorEastAsia" w:eastAsiaTheme="minorEastAsia" w:hAnsiTheme="minorEastAsia" w:cs="宋体"/>
          <w:kern w:val="0"/>
          <w:sz w:val="24"/>
          <w:szCs w:val="24"/>
        </w:rPr>
        <w:t>%，36-45岁占比</w:t>
      </w:r>
      <w:r>
        <w:rPr>
          <w:rFonts w:asciiTheme="minorEastAsia" w:eastAsiaTheme="minorEastAsia" w:hAnsiTheme="minorEastAsia" w:cs="宋体" w:hint="eastAsia"/>
          <w:kern w:val="0"/>
          <w:sz w:val="24"/>
          <w:szCs w:val="24"/>
        </w:rPr>
        <w:t>10.00</w:t>
      </w:r>
      <w:r>
        <w:rPr>
          <w:rFonts w:asciiTheme="minorEastAsia" w:eastAsiaTheme="minorEastAsia" w:hAnsiTheme="minorEastAsia" w:cs="宋体"/>
          <w:kern w:val="0"/>
          <w:sz w:val="24"/>
          <w:szCs w:val="24"/>
        </w:rPr>
        <w:t>%，46</w:t>
      </w:r>
      <w:r>
        <w:rPr>
          <w:rFonts w:asciiTheme="minorEastAsia" w:eastAsiaTheme="minorEastAsia" w:hAnsiTheme="minorEastAsia" w:cs="宋体" w:hint="eastAsia"/>
          <w:kern w:val="0"/>
          <w:sz w:val="24"/>
          <w:szCs w:val="24"/>
        </w:rPr>
        <w:t>-55</w:t>
      </w:r>
      <w:r>
        <w:rPr>
          <w:rFonts w:asciiTheme="minorEastAsia" w:eastAsiaTheme="minorEastAsia" w:hAnsiTheme="minorEastAsia" w:cs="宋体"/>
          <w:kern w:val="0"/>
          <w:sz w:val="24"/>
          <w:szCs w:val="24"/>
        </w:rPr>
        <w:t>岁占比</w:t>
      </w:r>
      <w:r>
        <w:rPr>
          <w:rFonts w:asciiTheme="minorEastAsia" w:eastAsiaTheme="minorEastAsia" w:hAnsiTheme="minorEastAsia" w:cs="宋体" w:hint="eastAsia"/>
          <w:kern w:val="0"/>
          <w:sz w:val="24"/>
          <w:szCs w:val="24"/>
        </w:rPr>
        <w:t>47.18</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，56岁以上占比13.46%</w:t>
      </w:r>
      <w:r>
        <w:rPr>
          <w:rFonts w:asciiTheme="minorEastAsia" w:eastAsiaTheme="minorEastAsia" w:hAnsiTheme="minorEastAsia" w:cs="宋体"/>
          <w:kern w:val="0"/>
          <w:sz w:val="24"/>
          <w:szCs w:val="24"/>
        </w:rPr>
        <w:t>。</w:t>
      </w:r>
    </w:p>
    <w:p w:rsidR="008768CC" w:rsidRDefault="008768CC" w:rsidP="008768CC">
      <w:pPr>
        <w:widowControl w:val="0"/>
        <w:spacing w:after="120" w:line="240" w:lineRule="auto"/>
        <w:ind w:firstLineChars="0" w:firstLine="0"/>
        <w:rPr>
          <w:rFonts w:ascii="宋体" w:eastAsia="宋体" w:hAnsi="宋体"/>
          <w:sz w:val="24"/>
          <w:szCs w:val="24"/>
        </w:rPr>
      </w:pPr>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Calibri" w:eastAsia="宋体" w:hAnsi="Calibri" w:cs="宋体"/>
          <w:kern w:val="0"/>
          <w:sz w:val="24"/>
          <w:szCs w:val="24"/>
        </w:rPr>
      </w:pPr>
      <w:r>
        <w:rPr>
          <w:rFonts w:ascii="Calibri" w:eastAsia="宋体" w:hAnsi="Calibri"/>
          <w:noProof/>
          <w:sz w:val="24"/>
          <w:szCs w:val="24"/>
        </w:rPr>
        <w:lastRenderedPageBreak/>
        <w:drawing>
          <wp:anchor distT="0" distB="0" distL="114300" distR="114300" simplePos="0" relativeHeight="251661312" behindDoc="0" locked="0" layoutInCell="1" allowOverlap="1" wp14:anchorId="66B4A04B" wp14:editId="3A763B22">
            <wp:simplePos x="0" y="0"/>
            <wp:positionH relativeFrom="column">
              <wp:posOffset>417195</wp:posOffset>
            </wp:positionH>
            <wp:positionV relativeFrom="paragraph">
              <wp:posOffset>311785</wp:posOffset>
            </wp:positionV>
            <wp:extent cx="5495925" cy="4181475"/>
            <wp:effectExtent l="0" t="0" r="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Calibri" w:eastAsia="宋体" w:hAnsi="Calibri"/>
          <w:noProof/>
          <w:sz w:val="24"/>
          <w:szCs w:val="24"/>
        </w:rPr>
        <w:drawing>
          <wp:anchor distT="0" distB="0" distL="114300" distR="114300" simplePos="0" relativeHeight="251660288" behindDoc="0" locked="0" layoutInCell="1" allowOverlap="1" wp14:anchorId="64C751AE" wp14:editId="4D95613E">
            <wp:simplePos x="0" y="0"/>
            <wp:positionH relativeFrom="column">
              <wp:posOffset>228600</wp:posOffset>
            </wp:positionH>
            <wp:positionV relativeFrom="paragraph">
              <wp:posOffset>158750</wp:posOffset>
            </wp:positionV>
            <wp:extent cx="5495925" cy="4181475"/>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8768CC" w:rsidRDefault="008768CC" w:rsidP="008768CC">
      <w:pPr>
        <w:widowControl w:val="0"/>
        <w:spacing w:line="240" w:lineRule="auto"/>
        <w:ind w:firstLineChars="0" w:firstLine="0"/>
        <w:rPr>
          <w:rFonts w:ascii="Calibri" w:eastAsia="宋体" w:hAnsi="Calibri"/>
          <w:sz w:val="24"/>
          <w:szCs w:val="24"/>
        </w:rPr>
      </w:pPr>
    </w:p>
    <w:p w:rsidR="008768CC" w:rsidRDefault="008768CC" w:rsidP="008768CC">
      <w:pPr>
        <w:widowControl w:val="0"/>
        <w:spacing w:line="240" w:lineRule="auto"/>
        <w:ind w:firstLineChars="0" w:firstLine="0"/>
        <w:rPr>
          <w:rFonts w:ascii="Calibri" w:eastAsia="宋体" w:hAnsi="Calibri"/>
          <w:sz w:val="24"/>
          <w:szCs w:val="24"/>
        </w:rPr>
      </w:pPr>
    </w:p>
    <w:p w:rsidR="008768CC" w:rsidRDefault="008768CC" w:rsidP="008768CC">
      <w:pPr>
        <w:widowControl w:val="0"/>
        <w:spacing w:line="240" w:lineRule="auto"/>
        <w:ind w:firstLineChars="0" w:firstLine="0"/>
        <w:rPr>
          <w:rFonts w:ascii="Calibri" w:eastAsia="宋体" w:hAnsi="Calibri"/>
          <w:sz w:val="24"/>
          <w:szCs w:val="24"/>
        </w:rPr>
      </w:pPr>
    </w:p>
    <w:p w:rsidR="008768CC" w:rsidRDefault="008768CC" w:rsidP="008768CC">
      <w:pPr>
        <w:widowControl w:val="0"/>
        <w:spacing w:line="240" w:lineRule="auto"/>
        <w:ind w:firstLineChars="0" w:firstLine="0"/>
        <w:rPr>
          <w:rFonts w:ascii="Calibri" w:eastAsia="宋体" w:hAnsi="Calibri"/>
          <w:sz w:val="24"/>
          <w:szCs w:val="24"/>
        </w:rPr>
      </w:pPr>
      <w:r>
        <w:rPr>
          <w:rFonts w:ascii="Calibri" w:eastAsia="宋体" w:hAnsi="Calibri"/>
          <w:noProof/>
          <w:sz w:val="24"/>
          <w:szCs w:val="24"/>
        </w:rPr>
        <w:drawing>
          <wp:inline distT="0" distB="0" distL="0" distR="0" wp14:anchorId="75375FF2" wp14:editId="6868C28B">
            <wp:extent cx="5274310" cy="3076575"/>
            <wp:effectExtent l="0" t="0" r="254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11.公司治理情况</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11.1公司治理说明</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良好的公司治理是商业银行实现稳健经营、可持续发展的关键所在。报告期内，面对复杂多变的外部形势，本行股东大会、董事会和监事会认真贯彻落实国家宏观调控政策和监管要求，勤勉尽职，开拓进取，积极有效运作，按照法律法规和监管要求，依据《章程》等制度，着力完善法人治理架构，不断加强各项机制建设，实行“党委领导、董事会决策、监事会监督、经营管理层执行”的公司治理组织架构，促使公司治理总体有效性的持续提升，为本行的稳健发展提供了坚实的决策保障和有力的执行机制，各项业务稳步发展，综合实力持续增强，较好地维护了股东、存款人和其他利益相关者的合法利益。</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11.2董事会及各专门委员会</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11.2.1董事会</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董事会承担本行经营和管理的最终责任，具有独立性，负责执行股东大会的决议，决定本行的经营计划、投资方案和内部管理机构设置，制定年度财务预算、决算以及利润分配方案，聘任高级管理人员等。</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截至报告期末，本行董事会共有董事9名，其中职工董事3名、股权董事3名、独立董事3名，董事会的人数和人员均符合法律法规的要求。董事能出席会议并审议各项提案，勤勉尽职，有效发挥决策职能，维护股东和本行的整体利益。</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报告期内，董事会召开会议15次，审议了《关于广东信宜农村商业银行股份有限公司2022年度董事会工作报告的提案》《关于广东信宜农村商业银行股份有限公司2022年度经营管理工作报告的提案》《关于广东信宜农村商业银行股份有限公司2022年年度报告的提案》等160项提案并形成相关决议，听取了《广东信宜农村商业银行股份有限公司</w:t>
      </w:r>
      <w:r>
        <w:rPr>
          <w:rFonts w:asciiTheme="minorEastAsia" w:eastAsiaTheme="minorEastAsia" w:hAnsiTheme="minorEastAsia"/>
          <w:sz w:val="24"/>
          <w:szCs w:val="24"/>
        </w:rPr>
        <w:t>2023年第一季度行长工作汇报</w:t>
      </w:r>
      <w:r>
        <w:rPr>
          <w:rFonts w:asciiTheme="minorEastAsia" w:eastAsiaTheme="minorEastAsia" w:hAnsiTheme="minorEastAsia" w:hint="eastAsia"/>
          <w:sz w:val="24"/>
          <w:szCs w:val="24"/>
        </w:rPr>
        <w:t>》《关于广东信宜农村商业银行股份有限公司采取措施促进坚守定位指标达标的报告》等34项报告或监管意见，充分发挥了董事会在公司治理中的决策核心作用，不断提高本行的经营管理水平。</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本行独立董事由法律、会计等专业人士担任。报告期内，独立董事能够本着对全体股东负责的态度，履行诚信和勤勉义务，维护本行利益及本行利益相关者的合法权益，</w:t>
      </w:r>
      <w:r>
        <w:rPr>
          <w:rFonts w:asciiTheme="minorEastAsia" w:eastAsiaTheme="minorEastAsia" w:hAnsiTheme="minorEastAsia" w:hint="eastAsia"/>
          <w:sz w:val="24"/>
          <w:szCs w:val="24"/>
        </w:rPr>
        <w:lastRenderedPageBreak/>
        <w:t>切实为董事会履行决策和监督职能发挥作用。</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11.2.2董事会专门委员会 </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根据相关规定，结合本行实际情况，本行董事会下设战略与创新发展委员会、合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与风险管理委员会、审计委员会、关联交易控制委员会、薪酬与提名管理委员会、三</w:t>
      </w:r>
      <w:proofErr w:type="gramStart"/>
      <w:r>
        <w:rPr>
          <w:rFonts w:asciiTheme="minorEastAsia" w:eastAsiaTheme="minorEastAsia" w:hAnsiTheme="minorEastAsia" w:hint="eastAsia"/>
          <w:sz w:val="24"/>
          <w:szCs w:val="24"/>
        </w:rPr>
        <w:t>农金融</w:t>
      </w:r>
      <w:proofErr w:type="gramEnd"/>
      <w:r>
        <w:rPr>
          <w:rFonts w:asciiTheme="minorEastAsia" w:eastAsiaTheme="minorEastAsia" w:hAnsiTheme="minorEastAsia" w:hint="eastAsia"/>
          <w:sz w:val="24"/>
          <w:szCs w:val="24"/>
        </w:rPr>
        <w:t>服务委员会和消费者权益保护委员会7个专门委员会。其中关联交易控制委员会、薪酬与提名管理委员会、审计委员会均由独立董事担任主任委员，关联交易控制委员会中独立董事占比适当，符合相关法律法规和监管要求。董事会各专门委员会委员勤勉尽职，全年共召开会议44次，审议提案126项并形成了相关决议，为董事会决策提供了强有力的支持，履职到位且充分，进一步提升董事会决策的科学性和有效性。</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战略与创新发展委员会</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董事会战略与创新发展委员会由3名董事组成，黄勇先生担任主任委员，钟剑钊先生、俞君乾先生任委员。</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合</w:t>
      </w:r>
      <w:proofErr w:type="gramStart"/>
      <w:r>
        <w:rPr>
          <w:rFonts w:asciiTheme="minorEastAsia" w:eastAsiaTheme="minorEastAsia" w:hAnsiTheme="minorEastAsia" w:hint="eastAsia"/>
          <w:b/>
          <w:sz w:val="24"/>
          <w:szCs w:val="24"/>
        </w:rPr>
        <w:t>规</w:t>
      </w:r>
      <w:proofErr w:type="gramEnd"/>
      <w:r>
        <w:rPr>
          <w:rFonts w:asciiTheme="minorEastAsia" w:eastAsiaTheme="minorEastAsia" w:hAnsiTheme="minorEastAsia" w:hint="eastAsia"/>
          <w:b/>
          <w:sz w:val="24"/>
          <w:szCs w:val="24"/>
        </w:rPr>
        <w:t>与风险管理委员会</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董事会合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与风险管理委员会由3名董事组成，钟剑钊先生担任主任委员，陈德炎先生、车岳云先生任委员。</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审计委员会</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董事会审计委员会由3名董事组成，</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车岳云先生担任主任委员，黄勇先生、吴昌恒先生任委员。</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sz w:val="24"/>
          <w:szCs w:val="24"/>
        </w:rPr>
        <w:t>关联交易控制委员会</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董事会关联交易控制委员会由3名董事组成，陈德炎先生担任主任委员，吴昌恒先生、丘海莲女士任委员。</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薪酬与提名管理委员会</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董事会薪酬与提名管理委员会由3名董事组成，吴昌恒先生担任主任委员，钟剑钊先生、丘海莲女士任委员。</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proofErr w:type="gramStart"/>
      <w:r>
        <w:rPr>
          <w:rFonts w:asciiTheme="minorEastAsia" w:eastAsiaTheme="minorEastAsia" w:hAnsiTheme="minorEastAsia" w:hint="eastAsia"/>
          <w:b/>
          <w:sz w:val="24"/>
          <w:szCs w:val="24"/>
        </w:rPr>
        <w:t>农金融</w:t>
      </w:r>
      <w:proofErr w:type="gramEnd"/>
      <w:r>
        <w:rPr>
          <w:rFonts w:asciiTheme="minorEastAsia" w:eastAsiaTheme="minorEastAsia" w:hAnsiTheme="minorEastAsia" w:hint="eastAsia"/>
          <w:b/>
          <w:sz w:val="24"/>
          <w:szCs w:val="24"/>
        </w:rPr>
        <w:t>服务委员会</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董事会三</w:t>
      </w:r>
      <w:proofErr w:type="gramStart"/>
      <w:r>
        <w:rPr>
          <w:rFonts w:asciiTheme="minorEastAsia" w:eastAsiaTheme="minorEastAsia" w:hAnsiTheme="minorEastAsia" w:hint="eastAsia"/>
          <w:sz w:val="24"/>
          <w:szCs w:val="24"/>
        </w:rPr>
        <w:t>农金融</w:t>
      </w:r>
      <w:proofErr w:type="gramEnd"/>
      <w:r>
        <w:rPr>
          <w:rFonts w:asciiTheme="minorEastAsia" w:eastAsiaTheme="minorEastAsia" w:hAnsiTheme="minorEastAsia" w:hint="eastAsia"/>
          <w:sz w:val="24"/>
          <w:szCs w:val="24"/>
        </w:rPr>
        <w:t>服务委员会由3名董事组成，黄勇先生担任主任委员，刘才富先生、谢剑先生任委员。</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消费者权益保护委员会</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董事会消费者权益保护委员会由3名董事组成，丘海莲女士担任主任委员，俞君乾先生、谢剑先生任委员。</w:t>
      </w:r>
    </w:p>
    <w:p w:rsidR="008768CC" w:rsidRDefault="008768CC" w:rsidP="008768CC">
      <w:pPr>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11.3监事会及其专门委员会</w:t>
      </w:r>
    </w:p>
    <w:p w:rsidR="008768CC" w:rsidRDefault="008768CC" w:rsidP="008768CC">
      <w:pPr>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11.3.1 监事会</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监事会是本行的监督机构，坚持独立原则，对本行董事会和高级管理层及其成员的履职情况、财务活动、内部控制、风险管理等进行监督，切实维护本行和广大股东的合法权益。截至报告期末，本行监事会共有监事4名，其中职工监事1名，股东监事1名，外部监事2名。全体监事均能勤勉尽职、恪尽职守，积极参加监事会及其专门委员会会议，认真审议各项提案，有效发挥监督制衡作用。报告期内，监事会共召开会议8次，审议了138项提案并形成了相关决议，听取了55项专项报告和监管通报等事项，有效推进董事会和高级管理层及其成员有效履职，持续为本行各项业务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稳健发展保驾护航。</w:t>
      </w:r>
    </w:p>
    <w:p w:rsidR="008768CC" w:rsidRDefault="008768CC" w:rsidP="008768CC">
      <w:pPr>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11.3.2监事会专门委员会</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监事会下设提名委员会和监督委员会，委员会主任均由外部监事担任。监事会各专门委员会委员勤勉尽责，报告期内召开会议6次，审议提案19项，对监事会发挥监督职能形成有力支持，强化了监事会的监督制衡作用。</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sz w:val="24"/>
          <w:szCs w:val="24"/>
        </w:rPr>
        <w:t>提名委员会。</w:t>
      </w:r>
      <w:r>
        <w:rPr>
          <w:rFonts w:asciiTheme="minorEastAsia" w:eastAsiaTheme="minorEastAsia" w:hAnsiTheme="minorEastAsia" w:hint="eastAsia"/>
          <w:sz w:val="24"/>
          <w:szCs w:val="24"/>
        </w:rPr>
        <w:t>报告期末，提名委员会由2名监事组成，外部监事伍书漠先生担任主任委员，职工监事宁波先生任委员。</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sz w:val="24"/>
          <w:szCs w:val="24"/>
        </w:rPr>
        <w:t>监督委员会。</w:t>
      </w:r>
      <w:r>
        <w:rPr>
          <w:rFonts w:asciiTheme="minorEastAsia" w:eastAsiaTheme="minorEastAsia" w:hAnsiTheme="minorEastAsia" w:hint="eastAsia"/>
          <w:sz w:val="24"/>
          <w:szCs w:val="24"/>
        </w:rPr>
        <w:t>报告期内，监督委员会由2名监事组成，外部监事苏湄女士担任主任委员，职工监事宁波先生任委员。</w:t>
      </w:r>
    </w:p>
    <w:p w:rsidR="008768CC" w:rsidRDefault="008768CC" w:rsidP="008768CC">
      <w:pPr>
        <w:widowControl w:val="0"/>
        <w:spacing w:after="120" w:line="240" w:lineRule="auto"/>
        <w:ind w:firstLineChars="0" w:firstLine="0"/>
        <w:rPr>
          <w:rFonts w:ascii="宋体" w:eastAsia="宋体" w:hAnsi="宋体"/>
          <w:sz w:val="24"/>
          <w:szCs w:val="24"/>
        </w:rPr>
        <w:sectPr w:rsidR="008768CC">
          <w:pgSz w:w="11906" w:h="16838"/>
          <w:pgMar w:top="1440" w:right="1474" w:bottom="1440" w:left="1531" w:header="567" w:footer="992" w:gutter="0"/>
          <w:cols w:space="425"/>
          <w:docGrid w:type="lines" w:linePitch="312"/>
        </w:sectPr>
      </w:pP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noProof/>
          <w:sz w:val="24"/>
          <w:szCs w:val="24"/>
        </w:rPr>
        <w:lastRenderedPageBreak/>
        <w:drawing>
          <wp:anchor distT="0" distB="0" distL="114300" distR="114300" simplePos="0" relativeHeight="251662336" behindDoc="1" locked="0" layoutInCell="1" allowOverlap="1" wp14:anchorId="2E007DED" wp14:editId="63EBBACC">
            <wp:simplePos x="0" y="0"/>
            <wp:positionH relativeFrom="column">
              <wp:posOffset>299720</wp:posOffset>
            </wp:positionH>
            <wp:positionV relativeFrom="paragraph">
              <wp:posOffset>81915</wp:posOffset>
            </wp:positionV>
            <wp:extent cx="7837170" cy="5547360"/>
            <wp:effectExtent l="0" t="0" r="0" b="0"/>
            <wp:wrapNone/>
            <wp:docPr id="19" name="图片 19" descr="D:\孔繁云\董事会资料\信宜农商行组织架构图（2023年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孔繁云\董事会资料\信宜农商行组织架构图（2023年末）.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837170" cy="5547360"/>
                    </a:xfrm>
                    <a:prstGeom prst="rect">
                      <a:avLst/>
                    </a:prstGeom>
                    <a:noFill/>
                    <a:ln>
                      <a:noFill/>
                    </a:ln>
                  </pic:spPr>
                </pic:pic>
              </a:graphicData>
            </a:graphic>
          </wp:anchor>
        </w:drawing>
      </w:r>
    </w:p>
    <w:p w:rsidR="008768CC" w:rsidRDefault="008768CC" w:rsidP="008768CC">
      <w:pPr>
        <w:widowControl w:val="0"/>
        <w:spacing w:line="500" w:lineRule="exact"/>
        <w:ind w:firstLineChars="0" w:firstLine="0"/>
        <w:rPr>
          <w:rFonts w:asciiTheme="minorEastAsia" w:eastAsiaTheme="minorEastAsia" w:hAnsiTheme="minorEastAsia"/>
          <w:sz w:val="24"/>
          <w:szCs w:val="24"/>
        </w:rPr>
        <w:sectPr w:rsidR="008768CC">
          <w:headerReference w:type="default" r:id="rId18"/>
          <w:footerReference w:type="default" r:id="rId19"/>
          <w:pgSz w:w="16838" w:h="11906" w:orient="landscape"/>
          <w:pgMar w:top="1588" w:right="1247" w:bottom="1588" w:left="1247" w:header="851" w:footer="992" w:gutter="0"/>
          <w:cols w:space="425"/>
          <w:docGrid w:type="lines" w:linePitch="435"/>
        </w:sectPr>
      </w:pP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5B250A59" wp14:editId="370ADCA9">
                <wp:simplePos x="0" y="0"/>
                <wp:positionH relativeFrom="column">
                  <wp:posOffset>-338455</wp:posOffset>
                </wp:positionH>
                <wp:positionV relativeFrom="paragraph">
                  <wp:posOffset>-737870</wp:posOffset>
                </wp:positionV>
                <wp:extent cx="1367155" cy="508635"/>
                <wp:effectExtent l="0" t="3175" r="0" b="2540"/>
                <wp:wrapNone/>
                <wp:docPr id="1" name="矩形 1"/>
                <wp:cNvGraphicFramePr/>
                <a:graphic xmlns:a="http://schemas.openxmlformats.org/drawingml/2006/main">
                  <a:graphicData uri="http://schemas.microsoft.com/office/word/2010/wordprocessingShape">
                    <wps:wsp>
                      <wps:cNvSpPr/>
                      <wps:spPr bwMode="auto">
                        <a:xfrm>
                          <a:off x="0" y="0"/>
                          <a:ext cx="1367155" cy="508635"/>
                        </a:xfrm>
                        <a:prstGeom prst="rect">
                          <a:avLst/>
                        </a:prstGeom>
                        <a:solidFill>
                          <a:srgbClr val="FFFFFF"/>
                        </a:solidFill>
                        <a:ln>
                          <a:noFill/>
                        </a:ln>
                      </wps:spPr>
                      <wps:txbx>
                        <w:txbxContent>
                          <w:p w:rsidR="008768CC" w:rsidRDefault="008768CC" w:rsidP="008768CC">
                            <w:pPr>
                              <w:ind w:firstLineChars="0" w:firstLine="0"/>
                              <w:rPr>
                                <w:rFonts w:ascii="宋体" w:hAnsi="宋体"/>
                                <w:b/>
                                <w:color w:val="000000" w:themeColor="text1"/>
                                <w:sz w:val="24"/>
                                <w:szCs w:val="24"/>
                              </w:rPr>
                            </w:pPr>
                            <w:r>
                              <w:rPr>
                                <w:rFonts w:ascii="宋体" w:hAnsi="宋体" w:hint="eastAsia"/>
                                <w:b/>
                                <w:color w:val="000000" w:themeColor="text1"/>
                                <w:sz w:val="24"/>
                                <w:szCs w:val="24"/>
                              </w:rPr>
                              <w:t>11.4</w:t>
                            </w:r>
                            <w:r>
                              <w:rPr>
                                <w:rFonts w:ascii="宋体" w:hAnsi="宋体" w:hint="eastAsia"/>
                                <w:b/>
                                <w:color w:val="000000" w:themeColor="text1"/>
                                <w:sz w:val="24"/>
                                <w:szCs w:val="24"/>
                              </w:rPr>
                              <w:t>组织架构图</w:t>
                            </w:r>
                          </w:p>
                        </w:txbxContent>
                      </wps:txbx>
                      <wps:bodyPr rot="0" vert="horz" wrap="square" lIns="91440" tIns="45720" rIns="91440" bIns="45720" anchor="ctr" anchorCtr="0" upright="1">
                        <a:noAutofit/>
                      </wps:bodyPr>
                    </wps:wsp>
                  </a:graphicData>
                </a:graphic>
              </wp:anchor>
            </w:drawing>
          </mc:Choice>
          <mc:Fallback>
            <w:pict>
              <v:rect id="矩形 1" o:spid="_x0000_s1026" style="position:absolute;left:0;text-align:left;margin-left:-26.65pt;margin-top:-58.1pt;width:107.65pt;height:40.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" stroked="f">
                <v:textbox>
                  <w:txbxContent>
                    <w:p w:rsidR="008768CC" w:rsidRDefault="008768CC" w:rsidP="008768CC">
                      <w:pPr>
                        <w:ind w:firstLineChars="0" w:firstLine="0"/>
                        <w:rPr>
                          <w:rFonts w:ascii="宋体" w:hAnsi="宋体"/>
                          <w:b/>
                          <w:color w:val="000000" w:themeColor="text1"/>
                          <w:sz w:val="24"/>
                          <w:szCs w:val="24"/>
                        </w:rPr>
                      </w:pPr>
                      <w:r>
                        <w:rPr>
                          <w:rFonts w:ascii="宋体" w:hAnsi="宋体" w:hint="eastAsia"/>
                          <w:b/>
                          <w:color w:val="000000" w:themeColor="text1"/>
                          <w:sz w:val="24"/>
                          <w:szCs w:val="24"/>
                        </w:rPr>
                        <w:t>11.4</w:t>
                      </w:r>
                      <w:r>
                        <w:rPr>
                          <w:rFonts w:ascii="宋体" w:hAnsi="宋体" w:hint="eastAsia"/>
                          <w:b/>
                          <w:color w:val="000000" w:themeColor="text1"/>
                          <w:sz w:val="24"/>
                          <w:szCs w:val="24"/>
                        </w:rPr>
                        <w:t>组织架构图</w:t>
                      </w:r>
                    </w:p>
                  </w:txbxContent>
                </v:textbox>
              </v:rect>
            </w:pict>
          </mc:Fallback>
        </mc:AlternateConten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12.股东大会情况</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股东大会是本行的权力机构，依法行使下列职权：</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（一）决定本行的经营方针和投资计划以及对“三农”业务的支持规划；</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（二）听取高级管理层对本行年度支农支小发展战略实施情况的报告；</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（三）选举和更换非由职工代表担任的董事、监事，决定有关董事、监事的报酬事项；</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（四）审议批准董事会的报告；</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（五）审议批准监事会的报告；</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（六）审议批准本行的年度财务预算方案、决算方案；</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（七）审议批准本行的利润分配方案和弥补亏损方案；</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（八）对本行增加或者减少注册资本</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决议；</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（九）对本行合并、分立、解散、清算或者变更本行公司形式</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决议；</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（十）修改本行章程；</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（十一）审议批准本行在一年内购买、出售重大资产金额超过本行最近一期经审计净资产百分之三十的事项；</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（十二）审议批准本章程第四十九条规定的担保事项；</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（十三）审议按照相关法律、法规、监管规定及章程的规定应提交股东大会审议的固定资产投资、对外投资、受</w:t>
      </w:r>
      <w:proofErr w:type="gramStart"/>
      <w:r>
        <w:rPr>
          <w:rFonts w:asciiTheme="minorEastAsia" w:eastAsiaTheme="minorEastAsia" w:hAnsiTheme="minorEastAsia" w:hint="eastAsia"/>
          <w:sz w:val="24"/>
          <w:szCs w:val="24"/>
        </w:rPr>
        <w:t>让重大</w:t>
      </w:r>
      <w:proofErr w:type="gramEnd"/>
      <w:r>
        <w:rPr>
          <w:rFonts w:asciiTheme="minorEastAsia" w:eastAsiaTheme="minorEastAsia" w:hAnsiTheme="minorEastAsia" w:hint="eastAsia"/>
          <w:sz w:val="24"/>
          <w:szCs w:val="24"/>
        </w:rPr>
        <w:t>资产、资产收购或处置、对外担保资产抵押、委托他人管理本行资金或其他资产等事项。</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（十四）对本行发行债券、其他证券或公开发行股份、上市</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决议；</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（十五）审议批准本行股东大会议事规则、董事会议事规则、监事会议事规则；</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（十六）审议批准股权激励计划方案；</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（十七）依照法律规定对收购本行股份</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决议；</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（十八）对聘用或解聘为本行财务报告进行定期法定审计的会计师事务所和进行清产核资的会计师事务所</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决议；</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（十九）审议批准法律法规、监管规定或者章程规定的应当由股东大会决定的其他事项。</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上述股东大会职权范围内的事项，应由股东大会审议决定。公司法及本条规定的第（十四）至（十九）项职权不得授予董事会、其他机构或者个人行使。除不得授权的股东大会职权外，在必要、合理、合法的情况下，股东大会可以授权董事会决定。授权的内容应当明确、具体。</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严格按照《公司章程》和《股东大会议事规则》等有关要求召集、召开股东大会。报告期内，本行共召开3次股东大会，股东大会的通知、召集、召开和表决程序均符合《公司法》和《公司章程》的规定。广东绰盛律师事务所指派律师现场见证股东会议的召集程序、召开程序、出席会议的人员资格、表决程序、所通过的决议内容及结果等相关事项的合法有效并出具法律意见书。具体情况如下：</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12.</w:t>
      </w:r>
      <w:proofErr w:type="gramStart"/>
      <w:r>
        <w:rPr>
          <w:rFonts w:asciiTheme="minorEastAsia" w:eastAsiaTheme="minorEastAsia" w:hAnsiTheme="minorEastAsia" w:hint="eastAsia"/>
          <w:b/>
          <w:sz w:val="24"/>
          <w:szCs w:val="24"/>
        </w:rPr>
        <w:t>1</w:t>
      </w:r>
      <w:proofErr w:type="gramEnd"/>
      <w:r>
        <w:rPr>
          <w:rFonts w:asciiTheme="minorEastAsia" w:eastAsiaTheme="minorEastAsia" w:hAnsiTheme="minorEastAsia" w:hint="eastAsia"/>
          <w:b/>
          <w:sz w:val="24"/>
          <w:szCs w:val="24"/>
        </w:rPr>
        <w:t>年度股东大会情况</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2023年4月27日，本行在广东省信宜市新里开发区二区五单元（本行住所）召开了2022年度股东大会，出席会议的股东及代理人共68名，所持有股份数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股，占本行股份总数</w:t>
      </w:r>
      <w:r>
        <w:rPr>
          <w:rFonts w:asciiTheme="minorEastAsia" w:eastAsiaTheme="minorEastAsia" w:hAnsiTheme="minorEastAsia" w:hint="eastAsia"/>
          <w:sz w:val="24"/>
          <w:szCs w:val="24"/>
        </w:rPr>
        <w:t>64.45%。</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会议审议了以下提案并形成相关决议：</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关于广东信宜农村商业银行股份有限公司2022年度董事会工作报告的提案，赞成股份数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关于广东信宜农村商业银行股份有限公司2022年度监事会工作报告的提案，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关于广东信宜农村商业银行股份有限公司2022年度经营管理工作报告的提案，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关于广东信宜农村商业银行股份有限公司2022年年度报告的提案，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395股，占出席会议有表决权股份数的100 %，反对股份数0股，占出席会议有表决权股份数的0%，弃权股份数0股，占出席会议有表决权股份数的0%；关于广东信宜农村商业银行股份有</w:t>
      </w:r>
      <w:r>
        <w:rPr>
          <w:rFonts w:asciiTheme="minorEastAsia" w:eastAsiaTheme="minorEastAsia" w:hAnsiTheme="minorEastAsia" w:hint="eastAsia"/>
          <w:sz w:val="24"/>
          <w:szCs w:val="24"/>
        </w:rPr>
        <w:lastRenderedPageBreak/>
        <w:t>限公司2022年度财务决算报告的提案，赞成股份数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关于广东信宜农村商业银行股份有限公司2022年度利润分配方案的提案，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关于广东信宜农村商业银行股份有限公司2022年股金分红方案的提案，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关于广东信宜农村商业银行股份有限公司2023年度经营计划和财务收支预算方案的提案，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关于广东信宜农村商业银行股份有限公司2022年度薪酬执行情况报告的提案，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关于广东信宜农村商业银行股份有限公司“三农”金融业务2022年执行情况和2023年支持规划的提案，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w:t>
      </w:r>
      <w:r>
        <w:rPr>
          <w:rFonts w:asciiTheme="minorEastAsia" w:eastAsiaTheme="minorEastAsia" w:hAnsiTheme="minorEastAsia"/>
          <w:sz w:val="24"/>
          <w:szCs w:val="24"/>
        </w:rPr>
        <w:t>关于广东信宜农村商业银行股份有限公司2022年度独立董事述职报告的提案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w:t>
      </w:r>
      <w:r>
        <w:rPr>
          <w:rFonts w:asciiTheme="minorEastAsia" w:eastAsiaTheme="minorEastAsia" w:hAnsiTheme="minorEastAsia"/>
          <w:sz w:val="24"/>
          <w:szCs w:val="24"/>
        </w:rPr>
        <w:t>关于对信宜江东电器科技有限公司及其关联企业统一授信的提案</w:t>
      </w:r>
      <w:r>
        <w:rPr>
          <w:rFonts w:asciiTheme="minorEastAsia" w:eastAsiaTheme="minorEastAsia" w:hAnsiTheme="minorEastAsia" w:hint="eastAsia"/>
          <w:sz w:val="24"/>
          <w:szCs w:val="24"/>
        </w:rPr>
        <w:t>，赞成股份数363,7</w:t>
      </w:r>
      <w:r>
        <w:rPr>
          <w:rFonts w:asciiTheme="minorEastAsia" w:eastAsiaTheme="minorEastAsia" w:hAnsiTheme="minorEastAsia"/>
          <w:sz w:val="24"/>
          <w:szCs w:val="24"/>
        </w:rPr>
        <w:t>95</w:t>
      </w:r>
      <w:r>
        <w:rPr>
          <w:rFonts w:asciiTheme="minorEastAsia" w:eastAsiaTheme="minorEastAsia" w:hAnsiTheme="minorEastAsia" w:hint="eastAsia"/>
          <w:sz w:val="24"/>
          <w:szCs w:val="24"/>
        </w:rPr>
        <w:t>,</w:t>
      </w:r>
      <w:r>
        <w:rPr>
          <w:rFonts w:asciiTheme="minorEastAsia" w:eastAsiaTheme="minorEastAsia" w:hAnsiTheme="minorEastAsia"/>
          <w:sz w:val="24"/>
          <w:szCs w:val="24"/>
        </w:rPr>
        <w:t>395</w:t>
      </w:r>
      <w:r>
        <w:rPr>
          <w:rFonts w:asciiTheme="minorEastAsia" w:eastAsiaTheme="minorEastAsia" w:hAnsiTheme="minorEastAsia" w:hint="eastAsia"/>
          <w:sz w:val="24"/>
          <w:szCs w:val="24"/>
        </w:rPr>
        <w:t>股，占出席会议有表决权股份数的100 %，反对股份数0股，占出席会议有表决权股份数的0%，弃权股份数0股，占出席会议有表决权股份数的0%；</w:t>
      </w:r>
      <w:r>
        <w:rPr>
          <w:rFonts w:asciiTheme="minorEastAsia" w:eastAsiaTheme="minorEastAsia" w:hAnsiTheme="minorEastAsia"/>
          <w:sz w:val="24"/>
          <w:szCs w:val="24"/>
        </w:rPr>
        <w:t>关于《广东信宜农村商业银行股份有限公司2023-2025年发展战略规划》的提案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w:t>
      </w:r>
      <w:r>
        <w:rPr>
          <w:rFonts w:asciiTheme="minorEastAsia" w:eastAsiaTheme="minorEastAsia" w:hAnsiTheme="minorEastAsia" w:hint="eastAsia"/>
          <w:sz w:val="24"/>
          <w:szCs w:val="24"/>
        </w:rPr>
        <w:lastRenderedPageBreak/>
        <w:t>份数的100 %，反对股份数0股，占出席会议有表决权股份数的0%，弃权股份数0股，占出席会议有表决权股份数的0%；</w:t>
      </w:r>
      <w:r>
        <w:rPr>
          <w:rFonts w:asciiTheme="minorEastAsia" w:eastAsiaTheme="minorEastAsia" w:hAnsiTheme="minorEastAsia"/>
          <w:sz w:val="24"/>
          <w:szCs w:val="24"/>
        </w:rPr>
        <w:t>关于《广东信宜农村商业银行股份有限公司股份管理办法（2023年版）》的提案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w:t>
      </w:r>
      <w:r>
        <w:rPr>
          <w:rFonts w:asciiTheme="minorEastAsia" w:eastAsiaTheme="minorEastAsia" w:hAnsiTheme="minorEastAsia"/>
          <w:sz w:val="24"/>
          <w:szCs w:val="24"/>
        </w:rPr>
        <w:t>关于《广东信宜农村商业银行股份有限公司董事会、监事会和高级管理层及其成员履职评价办法（2023年版）》的提案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w:t>
      </w:r>
      <w:r>
        <w:rPr>
          <w:rFonts w:asciiTheme="minorEastAsia" w:eastAsiaTheme="minorEastAsia" w:hAnsiTheme="minorEastAsia"/>
          <w:sz w:val="24"/>
          <w:szCs w:val="24"/>
        </w:rPr>
        <w:t>关于《广东信宜农村商业银行股份有限公司董事和高级管理人员薪酬管理办法（2023年版）》的提案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w:t>
      </w:r>
      <w:r>
        <w:rPr>
          <w:rFonts w:asciiTheme="minorEastAsia" w:eastAsiaTheme="minorEastAsia" w:hAnsiTheme="minorEastAsia"/>
          <w:sz w:val="24"/>
          <w:szCs w:val="24"/>
        </w:rPr>
        <w:t>关于《广东信宜农村商业银行股份有限公司监事薪酬管理办法（2023年版）》的提案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395股，占出席会议有表决权股份数的100%，反对股份数0股，占出席会议有表决权股份数的0%，弃权股份数0股，占出席会议有表决权股份数的0%；</w:t>
      </w:r>
      <w:r>
        <w:rPr>
          <w:rFonts w:asciiTheme="minorEastAsia" w:eastAsiaTheme="minorEastAsia" w:hAnsiTheme="minorEastAsia"/>
          <w:sz w:val="24"/>
          <w:szCs w:val="24"/>
        </w:rPr>
        <w:t>关于选举陈德炎同志为广东信宜农村商业银行股份有限公司第二届董事会独立董事的提案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w:t>
      </w:r>
      <w:r>
        <w:rPr>
          <w:rFonts w:asciiTheme="minorEastAsia" w:eastAsiaTheme="minorEastAsia" w:hAnsiTheme="minorEastAsia"/>
          <w:sz w:val="24"/>
          <w:szCs w:val="24"/>
        </w:rPr>
        <w:t>关于选举车岳云同志为广东信宜农村商业银行股份有限公司第二届董事会独立董事的提案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w:t>
      </w:r>
      <w:r>
        <w:rPr>
          <w:rFonts w:asciiTheme="minorEastAsia" w:eastAsiaTheme="minorEastAsia" w:hAnsiTheme="minorEastAsia"/>
          <w:sz w:val="24"/>
          <w:szCs w:val="24"/>
        </w:rPr>
        <w:t>关于选举吴昌恒同志为广东信宜农村商业银行股份有限公司第二届董事会独立董事的提案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w:t>
      </w:r>
      <w:r>
        <w:rPr>
          <w:rFonts w:asciiTheme="minorEastAsia" w:eastAsiaTheme="minorEastAsia" w:hAnsiTheme="minorEastAsia"/>
          <w:sz w:val="24"/>
          <w:szCs w:val="24"/>
        </w:rPr>
        <w:t>关于选举刘才富同志为广东信宜农村商业银行股份有限公司第二届董事会股权董事的提案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w:t>
      </w:r>
      <w:r>
        <w:rPr>
          <w:rFonts w:asciiTheme="minorEastAsia" w:eastAsiaTheme="minorEastAsia" w:hAnsiTheme="minorEastAsia" w:hint="eastAsia"/>
          <w:sz w:val="24"/>
          <w:szCs w:val="24"/>
        </w:rPr>
        <w:lastRenderedPageBreak/>
        <w:t>议有表决权股份数的100 %，反对股份数0股，占出席会议有表决权股份数的0%，弃权股份数0股，占出席会议有表决权股份数的0%；</w:t>
      </w:r>
      <w:r>
        <w:rPr>
          <w:rFonts w:asciiTheme="minorEastAsia" w:eastAsiaTheme="minorEastAsia" w:hAnsiTheme="minorEastAsia"/>
          <w:sz w:val="24"/>
          <w:szCs w:val="24"/>
        </w:rPr>
        <w:t>关于选举俞君乾同志为广东信宜农村商业银行股份有限公司第二届董事会股权董事的提案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w:t>
      </w:r>
      <w:r>
        <w:rPr>
          <w:rFonts w:asciiTheme="minorEastAsia" w:eastAsiaTheme="minorEastAsia" w:hAnsiTheme="minorEastAsia"/>
          <w:sz w:val="24"/>
          <w:szCs w:val="24"/>
        </w:rPr>
        <w:t>关于选举谢剑同志为广东信宜农村商业银行股份有限公司第二届董事会股权董事的提案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w:t>
      </w:r>
      <w:r>
        <w:rPr>
          <w:rFonts w:asciiTheme="minorEastAsia" w:eastAsiaTheme="minorEastAsia" w:hAnsiTheme="minorEastAsia"/>
          <w:sz w:val="24"/>
          <w:szCs w:val="24"/>
        </w:rPr>
        <w:t>关于选举江伟韬同志为广东信宜农村商业银行股份有限公司第二届监事会股东监事的提案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w:t>
      </w:r>
      <w:r>
        <w:rPr>
          <w:rFonts w:asciiTheme="minorEastAsia" w:eastAsiaTheme="minorEastAsia" w:hAnsiTheme="minorEastAsia"/>
          <w:sz w:val="24"/>
          <w:szCs w:val="24"/>
        </w:rPr>
        <w:t>关于选举江伟韬同志为广东信宜农村商业银行股份有限公司第二届监事会股东监事的提案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w:t>
      </w:r>
      <w:r>
        <w:rPr>
          <w:rFonts w:asciiTheme="minorEastAsia" w:eastAsiaTheme="minorEastAsia" w:hAnsiTheme="minorEastAsia"/>
          <w:sz w:val="24"/>
          <w:szCs w:val="24"/>
        </w:rPr>
        <w:t>关于选举苏湄同志为广东信宜农村商业银行股份有限公司第二届监事会外部监事的提案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w:t>
      </w:r>
      <w:r>
        <w:rPr>
          <w:rFonts w:asciiTheme="minorEastAsia" w:eastAsiaTheme="minorEastAsia" w:hAnsiTheme="minorEastAsia"/>
          <w:sz w:val="24"/>
          <w:szCs w:val="24"/>
        </w:rPr>
        <w:t>关于选举李金唐同志为广东信宜农村商业银行股份有限公司第二届监事会外部监事的提案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w:t>
      </w:r>
      <w:r>
        <w:rPr>
          <w:rFonts w:asciiTheme="minorEastAsia" w:eastAsiaTheme="minorEastAsia" w:hAnsiTheme="minorEastAsia"/>
          <w:sz w:val="24"/>
          <w:szCs w:val="24"/>
        </w:rPr>
        <w:t>关于广东信宜农村商业银行股份有限公司股东大会对董事会授权方案的提案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39</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395</w:t>
      </w:r>
      <w:r>
        <w:rPr>
          <w:rFonts w:asciiTheme="minorEastAsia" w:eastAsiaTheme="minorEastAsia" w:hAnsiTheme="minorEastAsia"/>
          <w:sz w:val="24"/>
          <w:szCs w:val="24"/>
        </w:rPr>
        <w:t>,</w:t>
      </w:r>
      <w:r>
        <w:rPr>
          <w:rFonts w:asciiTheme="minorEastAsia" w:eastAsiaTheme="minorEastAsia" w:hAnsiTheme="minorEastAsia" w:hint="eastAsia"/>
          <w:sz w:val="24"/>
          <w:szCs w:val="24"/>
        </w:rPr>
        <w:t>395股，占出席会议有表决权股份数的100 %，反对股份数0股，占出席会议有表决权股份数的0%，弃权股份数0股，占出席会议有表决权股份数的0%。</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会议通报事项：广东信宜农村商业银行股份有限公司关于2022年度董事会、监事会、高级管理层及其成员履职评价情况的报告；关于广东信宜农村商业银行股</w:t>
      </w:r>
      <w:r>
        <w:rPr>
          <w:rFonts w:asciiTheme="minorEastAsia" w:eastAsiaTheme="minorEastAsia" w:hAnsiTheme="minorEastAsia" w:hint="eastAsia"/>
          <w:sz w:val="24"/>
          <w:szCs w:val="24"/>
        </w:rPr>
        <w:lastRenderedPageBreak/>
        <w:t>份有限公司2022年关联交易工作报告的报告；关于广东信宜农村商业银行股份有限公司2022年度支农支小发展战略实施情况的报告；</w:t>
      </w:r>
      <w:r>
        <w:rPr>
          <w:rFonts w:asciiTheme="minorEastAsia" w:eastAsiaTheme="minorEastAsia" w:hAnsiTheme="minorEastAsia"/>
          <w:sz w:val="24"/>
          <w:szCs w:val="24"/>
        </w:rPr>
        <w:t>关于广东信宜农村商业银行股份有限公司大股东2021年度评估情况的报告</w:t>
      </w:r>
      <w:r>
        <w:rPr>
          <w:rFonts w:asciiTheme="minorEastAsia" w:eastAsiaTheme="minorEastAsia" w:hAnsiTheme="minorEastAsia" w:hint="eastAsia"/>
          <w:sz w:val="24"/>
          <w:szCs w:val="24"/>
        </w:rPr>
        <w:t>；</w:t>
      </w:r>
      <w:r>
        <w:rPr>
          <w:rFonts w:asciiTheme="minorEastAsia" w:eastAsiaTheme="minorEastAsia" w:hAnsiTheme="minorEastAsia"/>
          <w:sz w:val="24"/>
          <w:szCs w:val="24"/>
        </w:rPr>
        <w:t>关于广东信宜农村商业银行股份有限公司2022年度主要股东及大股东评估情况的报告</w:t>
      </w:r>
      <w:r>
        <w:rPr>
          <w:rFonts w:asciiTheme="minorEastAsia" w:eastAsiaTheme="minorEastAsia" w:hAnsiTheme="minorEastAsia" w:hint="eastAsia"/>
          <w:sz w:val="24"/>
          <w:szCs w:val="24"/>
        </w:rPr>
        <w:t>；</w:t>
      </w:r>
      <w:r>
        <w:rPr>
          <w:rFonts w:asciiTheme="minorEastAsia" w:eastAsiaTheme="minorEastAsia" w:hAnsiTheme="minorEastAsia"/>
          <w:sz w:val="24"/>
          <w:szCs w:val="24"/>
        </w:rPr>
        <w:t>关于广东信宜农村商业银行股份有限公司第二届职工董事结果的通报</w:t>
      </w:r>
      <w:r>
        <w:rPr>
          <w:rFonts w:asciiTheme="minorEastAsia" w:eastAsiaTheme="minorEastAsia" w:hAnsiTheme="minorEastAsia" w:hint="eastAsia"/>
          <w:sz w:val="24"/>
          <w:szCs w:val="24"/>
        </w:rPr>
        <w:t>；</w:t>
      </w:r>
      <w:r>
        <w:rPr>
          <w:rFonts w:asciiTheme="minorEastAsia" w:eastAsiaTheme="minorEastAsia" w:hAnsiTheme="minorEastAsia"/>
          <w:sz w:val="24"/>
          <w:szCs w:val="24"/>
        </w:rPr>
        <w:t>关于广东信宜农村商业银行股份有限公司第二届职工监事结果的通报</w:t>
      </w:r>
      <w:r>
        <w:rPr>
          <w:rFonts w:asciiTheme="minorEastAsia" w:eastAsiaTheme="minorEastAsia" w:hAnsiTheme="minorEastAsia" w:hint="eastAsia"/>
          <w:sz w:val="24"/>
          <w:szCs w:val="24"/>
        </w:rPr>
        <w:t>；</w:t>
      </w:r>
      <w:r>
        <w:rPr>
          <w:rFonts w:asciiTheme="minorEastAsia" w:eastAsiaTheme="minorEastAsia" w:hAnsiTheme="minorEastAsia"/>
          <w:sz w:val="24"/>
          <w:szCs w:val="24"/>
        </w:rPr>
        <w:t>关于广东信宜农村商业银行股份有限公司第二届董事会成员选举结果的通报；关于广东信宜农村商业银行股份有限公司第二届监事会成员选举结果的通报</w:t>
      </w:r>
      <w:r>
        <w:rPr>
          <w:rFonts w:asciiTheme="minorEastAsia" w:eastAsiaTheme="minorEastAsia" w:hAnsiTheme="minorEastAsia" w:hint="eastAsia"/>
          <w:sz w:val="24"/>
          <w:szCs w:val="24"/>
        </w:rPr>
        <w:t>。</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12.2临时股东大会情况</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报告期内，本行召开两次临时股东大会。</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2023年6月16日，本行在广东省信宜市新里开发区二区五单元（本行住所）召开了2023年第一次临时股东大会，出席会议的股东及代理人共63名，所持有股份数</w:t>
      </w:r>
      <w:r>
        <w:rPr>
          <w:rFonts w:asciiTheme="minorEastAsia" w:eastAsiaTheme="minorEastAsia" w:hAnsiTheme="minorEastAsia"/>
          <w:sz w:val="24"/>
          <w:szCs w:val="24"/>
        </w:rPr>
        <w:t>376,115,127股，占本行股份总数</w:t>
      </w:r>
      <w:r>
        <w:rPr>
          <w:rFonts w:asciiTheme="minorEastAsia" w:eastAsiaTheme="minorEastAsia" w:hAnsiTheme="minorEastAsia" w:hint="eastAsia"/>
          <w:sz w:val="24"/>
          <w:szCs w:val="24"/>
        </w:rPr>
        <w:t>61.46%。</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会议审议了以下提案并形成相关决议：</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关于修订</w:t>
      </w:r>
      <w:r>
        <w:rPr>
          <w:rFonts w:asciiTheme="minorEastAsia" w:eastAsiaTheme="minorEastAsia" w:hAnsiTheme="minorEastAsia"/>
          <w:sz w:val="24"/>
          <w:szCs w:val="24"/>
        </w:rPr>
        <w:t>&lt;广东信宜农村商业银行股份有限公司章程（2022年版）&gt;的提案</w:t>
      </w:r>
      <w:r>
        <w:rPr>
          <w:rFonts w:asciiTheme="minorEastAsia" w:eastAsiaTheme="minorEastAsia" w:hAnsiTheme="minorEastAsia" w:hint="eastAsia"/>
          <w:sz w:val="24"/>
          <w:szCs w:val="24"/>
        </w:rPr>
        <w:t>，赞成股份数</w:t>
      </w:r>
      <w:r>
        <w:rPr>
          <w:rFonts w:asciiTheme="minorEastAsia" w:eastAsiaTheme="minorEastAsia" w:hAnsiTheme="minorEastAsia"/>
          <w:sz w:val="24"/>
          <w:szCs w:val="24"/>
        </w:rPr>
        <w:t>376,115,127</w:t>
      </w:r>
      <w:r>
        <w:rPr>
          <w:rFonts w:asciiTheme="minorEastAsia" w:eastAsiaTheme="minorEastAsia" w:hAnsiTheme="minorEastAsia" w:hint="eastAsia"/>
          <w:sz w:val="24"/>
          <w:szCs w:val="24"/>
        </w:rPr>
        <w:t>股，占出席会议有表决权股份数的100 %，反对股份数0股，占出席会议有表决权股份数的0%，弃权股份数0股，占出席会议有表决权股份数的0%。</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会议通报事项：关于广东信宜农村商业银行股份有限公司</w:t>
      </w:r>
      <w:r>
        <w:rPr>
          <w:rFonts w:asciiTheme="minorEastAsia" w:eastAsiaTheme="minorEastAsia" w:hAnsiTheme="minorEastAsia"/>
          <w:sz w:val="24"/>
          <w:szCs w:val="24"/>
        </w:rPr>
        <w:t>2022年股东大会决议执行情况的报告</w:t>
      </w:r>
      <w:r>
        <w:rPr>
          <w:rFonts w:asciiTheme="minorEastAsia" w:eastAsiaTheme="minorEastAsia" w:hAnsiTheme="minorEastAsia" w:hint="eastAsia"/>
          <w:sz w:val="24"/>
          <w:szCs w:val="24"/>
        </w:rPr>
        <w:t>。</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2023年11月29日，本行在广东省信宜市新里开发区二区五单元（本行住所）召开了2023年第二次临时股东大会，出席会议的股东及代理人共59名，所持有股份数</w:t>
      </w:r>
      <w:r>
        <w:rPr>
          <w:rFonts w:asciiTheme="minorEastAsia" w:eastAsiaTheme="minorEastAsia" w:hAnsiTheme="minorEastAsia"/>
          <w:sz w:val="24"/>
          <w:szCs w:val="24"/>
        </w:rPr>
        <w:t>373,485,671股，占本行股份总数61.03</w:t>
      </w:r>
      <w:r>
        <w:rPr>
          <w:rFonts w:asciiTheme="minorEastAsia" w:eastAsiaTheme="minorEastAsia" w:hAnsiTheme="minorEastAsia" w:hint="eastAsia"/>
          <w:sz w:val="24"/>
          <w:szCs w:val="24"/>
        </w:rPr>
        <w:t>，</w:t>
      </w:r>
      <w:r>
        <w:rPr>
          <w:rFonts w:asciiTheme="minorEastAsia" w:eastAsiaTheme="minorEastAsia" w:hAnsiTheme="minorEastAsia"/>
          <w:sz w:val="24"/>
          <w:szCs w:val="24"/>
        </w:rPr>
        <w:t>因出席会议的股东东莞市茂东实业投资有限公司所持股份10,200,000股目前处于质押状态，质押比例100%，限制其表决权，</w:t>
      </w:r>
      <w:proofErr w:type="gramStart"/>
      <w:r>
        <w:rPr>
          <w:rFonts w:asciiTheme="minorEastAsia" w:eastAsiaTheme="minorEastAsia" w:hAnsiTheme="minorEastAsia"/>
          <w:sz w:val="24"/>
          <w:szCs w:val="24"/>
        </w:rPr>
        <w:t>故出席</w:t>
      </w:r>
      <w:proofErr w:type="gramEnd"/>
      <w:r>
        <w:rPr>
          <w:rFonts w:asciiTheme="minorEastAsia" w:eastAsiaTheme="minorEastAsia" w:hAnsiTheme="minorEastAsia"/>
          <w:sz w:val="24"/>
          <w:szCs w:val="24"/>
        </w:rPr>
        <w:t>会议的股东及股东代理人所持有表决权股份数为363,285,671 股，占</w:t>
      </w:r>
      <w:r>
        <w:rPr>
          <w:rFonts w:asciiTheme="minorEastAsia" w:eastAsiaTheme="minorEastAsia" w:hAnsiTheme="minorEastAsia" w:hint="eastAsia"/>
          <w:sz w:val="24"/>
          <w:szCs w:val="24"/>
        </w:rPr>
        <w:t>本行</w:t>
      </w:r>
      <w:r>
        <w:rPr>
          <w:rFonts w:asciiTheme="minorEastAsia" w:eastAsiaTheme="minorEastAsia" w:hAnsiTheme="minorEastAsia"/>
          <w:sz w:val="24"/>
          <w:szCs w:val="24"/>
        </w:rPr>
        <w:t>股份总数 59.36 %</w:t>
      </w:r>
      <w:r>
        <w:rPr>
          <w:rFonts w:asciiTheme="minorEastAsia" w:eastAsiaTheme="minorEastAsia" w:hAnsiTheme="minorEastAsia" w:hint="eastAsia"/>
          <w:sz w:val="24"/>
          <w:szCs w:val="24"/>
        </w:rPr>
        <w:t>。</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会议审议了以下提案并形成相关决议：</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审议关于聘用中介机构承办广东信宜农村商业银行股份有限公司2023年度审计工作的提案，赞成股份数</w:t>
      </w:r>
      <w:r>
        <w:rPr>
          <w:rFonts w:asciiTheme="minorEastAsia" w:eastAsiaTheme="minorEastAsia" w:hAnsiTheme="minorEastAsia"/>
          <w:sz w:val="24"/>
          <w:szCs w:val="24"/>
        </w:rPr>
        <w:t>363,285,671</w:t>
      </w:r>
      <w:r>
        <w:rPr>
          <w:rFonts w:asciiTheme="minorEastAsia" w:eastAsiaTheme="minorEastAsia" w:hAnsiTheme="minorEastAsia" w:hint="eastAsia"/>
          <w:sz w:val="24"/>
          <w:szCs w:val="24"/>
        </w:rPr>
        <w:t>股，占出席会议有表决权股份数的100 %，反对股份数0股，占出席会议有表决权股份数的0%，弃权股份数0股，占出席会议有表决权股份数的0%；审议关于选举李建宇同志为广东信宜农村商业银行股份有限公司第二届董事会独立董事的提案，赞成股份数</w:t>
      </w:r>
      <w:r>
        <w:rPr>
          <w:rFonts w:asciiTheme="minorEastAsia" w:eastAsiaTheme="minorEastAsia" w:hAnsiTheme="minorEastAsia"/>
          <w:sz w:val="24"/>
          <w:szCs w:val="24"/>
        </w:rPr>
        <w:t>363,285,671</w:t>
      </w:r>
      <w:r>
        <w:rPr>
          <w:rFonts w:asciiTheme="minorEastAsia" w:eastAsiaTheme="minorEastAsia" w:hAnsiTheme="minorEastAsia" w:hint="eastAsia"/>
          <w:sz w:val="24"/>
          <w:szCs w:val="24"/>
        </w:rPr>
        <w:t>股，占出席会议有表决权股份数的100 %，反对股份数0股，占出席会议有表决权股份数的0%，弃权股份数0股，占出席会议有表决权股份数的0%；审议关于选举伍书漠同志为广东信宜农村商业银行股份有限公司第二届监事会外部监事的提案，赞成股份数</w:t>
      </w:r>
      <w:r>
        <w:rPr>
          <w:rFonts w:asciiTheme="minorEastAsia" w:eastAsiaTheme="minorEastAsia" w:hAnsiTheme="minorEastAsia"/>
          <w:sz w:val="24"/>
          <w:szCs w:val="24"/>
        </w:rPr>
        <w:t>363,285,671</w:t>
      </w:r>
      <w:r>
        <w:rPr>
          <w:rFonts w:asciiTheme="minorEastAsia" w:eastAsiaTheme="minorEastAsia" w:hAnsiTheme="minorEastAsia" w:hint="eastAsia"/>
          <w:sz w:val="24"/>
          <w:szCs w:val="24"/>
        </w:rPr>
        <w:t>股，占出席会议有表决权股份数的100 %，反对股份数0股，占出席会议有表决权股份数的0%，弃权股份数0股，占出席会议有表决权股份数的0%。</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p>
    <w:p w:rsidR="008768CC" w:rsidRDefault="008768CC" w:rsidP="008768CC">
      <w:pPr>
        <w:widowControl w:val="0"/>
        <w:spacing w:line="500" w:lineRule="exact"/>
        <w:ind w:firstLineChars="0" w:firstLine="0"/>
        <w:rPr>
          <w:rFonts w:asciiTheme="minorEastAsia" w:eastAsiaTheme="minorEastAsia" w:hAnsiTheme="minorEastAsia"/>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br w:type="page"/>
      </w:r>
      <w:r>
        <w:rPr>
          <w:rFonts w:asciiTheme="minorEastAsia" w:eastAsiaTheme="minorEastAsia" w:hAnsiTheme="minorEastAsia" w:hint="eastAsia"/>
          <w:b/>
          <w:sz w:val="24"/>
          <w:szCs w:val="24"/>
        </w:rPr>
        <w:lastRenderedPageBreak/>
        <w:t>13.董事会报告</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13.1董事会会议情况</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报告期内，董事会共召开会议15次，审议了160项提案并形成相关决议，通报了34项事项。各次会议召开情况具体如下：</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1.2023年1月31日，召开信宜农商银行第一届董事会第八十五次会议。会议审议了2个提案，并形成会议决议。</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2.2023年2月22日，召开信宜农商银行第一届董事会第八十六次会议。会议审议了13个提案，并形成会议决议。通报了2个事项。</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3.2023年4月6日，召开信宜农商银行第一届董事会第八十七次会议。会议审议了，并形成决议47个提案，并形成会议决议。通报了2个事项。</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4.2023年4月24日，召开信宜农商银行第一届董事会第八十八次会议。会议审议了12个提案，并形成会议决议。通报了4个事项。</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5.2023年4月26日，召开信宜农商银行第一届董事会第八十九会议。会议审议了6个提案，并形成会议决议。</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6.2023年4月27日，召开信宜农商银行第二届董事会第一次会议。会议审议了17个提案，并形成会议决议。</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7.2023年5月31日，召开信宜农商银行第二届董事会第二次会议。会议审议了6个提案，并形成会议决议。会议通报了3个事项。</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8.2023年6月15日，召开信宜农商银行第二届董事会第三次会议。会议审议了5个提案，并形成会议决议。通报了4个事项。</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9.2023年6月26日，召开信宜农商银行第二届董事会第四次会议。会议审议了2个提案，并形成会议决议。</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10.2023年7月20日，召开信宜农商银行第二届董事会第五次会议。会议审议了2个事项，并形成会议决议。通报了2个事项。</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11.2023年8月28日，召开信宜农商银行第二届董事会第六次会议。会议审议了9个提案，并形成会议决议。通报了4个事项。</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12.2023年9月27日，召开信宜农商银行第二届董事会第七会议。会议审议了8</w:t>
      </w:r>
      <w:r>
        <w:rPr>
          <w:rFonts w:asciiTheme="minorEastAsia" w:eastAsiaTheme="minorEastAsia" w:hAnsiTheme="minorEastAsia" w:hint="eastAsia"/>
          <w:sz w:val="24"/>
          <w:szCs w:val="24"/>
        </w:rPr>
        <w:lastRenderedPageBreak/>
        <w:t>个提案，并形成会议决议。</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13.2023年11月13日，召开信宜农商银行第二届董事会第八次会议。会议审议了13个提案，并形成会议决议。通报了6个事项。</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14.2023年12月15日，召开信宜农商银行第二届董事会第九次会议。会议审议了8个提案，并形成会议决议。通报了1个事项。</w:t>
      </w:r>
    </w:p>
    <w:p w:rsidR="008768CC" w:rsidRDefault="008768CC" w:rsidP="008768CC">
      <w:pPr>
        <w:widowControl w:val="0"/>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15.2023年12月26日，召开信宜农商银行第二届董事会第十次会议。会议审议了10个提案，并形成会议决议。通报了5个事项。</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报告期内，各位董事出席会议情况见下表列示：</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0"/>
        <w:gridCol w:w="2840"/>
      </w:tblGrid>
      <w:tr w:rsidR="008768CC" w:rsidTr="00293A0E">
        <w:trPr>
          <w:jc w:val="center"/>
        </w:trPr>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董事会成员</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出席（含委托出席）次数/应出席次数</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出席率</w:t>
            </w:r>
          </w:p>
        </w:tc>
      </w:tr>
      <w:tr w:rsidR="008768CC" w:rsidTr="00293A0E">
        <w:trPr>
          <w:trHeight w:val="170"/>
          <w:jc w:val="center"/>
        </w:trPr>
        <w:tc>
          <w:tcPr>
            <w:tcW w:w="1666" w:type="pct"/>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黄勇</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kern w:val="0"/>
                <w:sz w:val="24"/>
                <w:szCs w:val="24"/>
                <w:lang w:eastAsia="en-US"/>
              </w:rPr>
            </w:pPr>
            <w:r>
              <w:rPr>
                <w:rFonts w:asciiTheme="minorEastAsia" w:eastAsiaTheme="minorEastAsia" w:hAnsiTheme="minorEastAsia" w:hint="eastAsia"/>
                <w:sz w:val="24"/>
                <w:szCs w:val="24"/>
              </w:rPr>
              <w:t>15/15</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r>
      <w:tr w:rsidR="008768CC" w:rsidTr="00293A0E">
        <w:trPr>
          <w:trHeight w:val="170"/>
          <w:jc w:val="center"/>
        </w:trPr>
        <w:tc>
          <w:tcPr>
            <w:tcW w:w="1666" w:type="pct"/>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钟剑钊</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7/7</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r>
      <w:tr w:rsidR="008768CC" w:rsidTr="00293A0E">
        <w:trPr>
          <w:trHeight w:val="170"/>
          <w:jc w:val="center"/>
        </w:trPr>
        <w:tc>
          <w:tcPr>
            <w:tcW w:w="1666" w:type="pct"/>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丘海莲</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kern w:val="0"/>
                <w:sz w:val="24"/>
                <w:szCs w:val="24"/>
                <w:lang w:eastAsia="en-US"/>
              </w:rPr>
            </w:pPr>
            <w:r>
              <w:rPr>
                <w:rFonts w:asciiTheme="minorEastAsia" w:eastAsiaTheme="minorEastAsia" w:hAnsiTheme="minorEastAsia" w:hint="eastAsia"/>
                <w:sz w:val="24"/>
                <w:szCs w:val="24"/>
              </w:rPr>
              <w:t>15/15</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r>
      <w:tr w:rsidR="008768CC" w:rsidTr="00293A0E">
        <w:trPr>
          <w:trHeight w:val="170"/>
          <w:jc w:val="center"/>
        </w:trPr>
        <w:tc>
          <w:tcPr>
            <w:tcW w:w="1666" w:type="pct"/>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陈德炎</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kern w:val="0"/>
                <w:sz w:val="24"/>
                <w:szCs w:val="24"/>
                <w:lang w:eastAsia="en-US"/>
              </w:rPr>
            </w:pPr>
            <w:r>
              <w:rPr>
                <w:rFonts w:asciiTheme="minorEastAsia" w:eastAsiaTheme="minorEastAsia" w:hAnsiTheme="minorEastAsia" w:hint="eastAsia"/>
                <w:sz w:val="24"/>
                <w:szCs w:val="24"/>
              </w:rPr>
              <w:t>14/15</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93%</w:t>
            </w:r>
          </w:p>
        </w:tc>
      </w:tr>
      <w:tr w:rsidR="008768CC" w:rsidTr="00293A0E">
        <w:trPr>
          <w:trHeight w:val="170"/>
          <w:jc w:val="center"/>
        </w:trPr>
        <w:tc>
          <w:tcPr>
            <w:tcW w:w="1666" w:type="pct"/>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吴昌恒</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kern w:val="0"/>
                <w:sz w:val="24"/>
                <w:szCs w:val="24"/>
                <w:lang w:eastAsia="en-US"/>
              </w:rPr>
            </w:pPr>
            <w:r>
              <w:rPr>
                <w:rFonts w:asciiTheme="minorEastAsia" w:eastAsiaTheme="minorEastAsia" w:hAnsiTheme="minorEastAsia" w:hint="eastAsia"/>
                <w:sz w:val="24"/>
                <w:szCs w:val="24"/>
              </w:rPr>
              <w:t>15/15</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r>
      <w:tr w:rsidR="008768CC" w:rsidTr="00293A0E">
        <w:trPr>
          <w:trHeight w:val="170"/>
          <w:jc w:val="center"/>
        </w:trPr>
        <w:tc>
          <w:tcPr>
            <w:tcW w:w="1666" w:type="pct"/>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车岳云</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kern w:val="0"/>
                <w:sz w:val="24"/>
                <w:szCs w:val="24"/>
                <w:lang w:eastAsia="en-US"/>
              </w:rPr>
            </w:pPr>
            <w:r>
              <w:rPr>
                <w:rFonts w:asciiTheme="minorEastAsia" w:eastAsiaTheme="minorEastAsia" w:hAnsiTheme="minorEastAsia" w:hint="eastAsia"/>
                <w:sz w:val="24"/>
                <w:szCs w:val="24"/>
              </w:rPr>
              <w:t>15/15</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r>
      <w:tr w:rsidR="008768CC" w:rsidTr="00293A0E">
        <w:trPr>
          <w:trHeight w:val="170"/>
          <w:jc w:val="center"/>
        </w:trPr>
        <w:tc>
          <w:tcPr>
            <w:tcW w:w="1666" w:type="pct"/>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俞君乾</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7/7</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r>
      <w:tr w:rsidR="008768CC" w:rsidTr="00293A0E">
        <w:trPr>
          <w:trHeight w:val="170"/>
          <w:jc w:val="center"/>
        </w:trPr>
        <w:tc>
          <w:tcPr>
            <w:tcW w:w="1666" w:type="pct"/>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刘才富</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7/7</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r>
      <w:tr w:rsidR="008768CC" w:rsidTr="00293A0E">
        <w:trPr>
          <w:trHeight w:val="170"/>
          <w:jc w:val="center"/>
        </w:trPr>
        <w:tc>
          <w:tcPr>
            <w:tcW w:w="1666" w:type="pct"/>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谢剑</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kern w:val="0"/>
                <w:sz w:val="24"/>
                <w:szCs w:val="24"/>
                <w:lang w:eastAsia="en-US"/>
              </w:rPr>
            </w:pPr>
            <w:r>
              <w:rPr>
                <w:rFonts w:asciiTheme="minorEastAsia" w:eastAsiaTheme="minorEastAsia" w:hAnsiTheme="minorEastAsia" w:hint="eastAsia"/>
                <w:sz w:val="24"/>
                <w:szCs w:val="24"/>
              </w:rPr>
              <w:t>15/15</w:t>
            </w:r>
          </w:p>
        </w:tc>
        <w:tc>
          <w:tcPr>
            <w:tcW w:w="166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r>
    </w:tbl>
    <w:p w:rsidR="008768CC" w:rsidRDefault="008768CC" w:rsidP="008768CC">
      <w:pPr>
        <w:widowControl w:val="0"/>
        <w:tabs>
          <w:tab w:val="right" w:pos="8306"/>
        </w:tabs>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13.2董事会对股东大会决议的执行情况</w:t>
      </w:r>
    </w:p>
    <w:p w:rsidR="008768CC" w:rsidRDefault="008768CC" w:rsidP="008768CC">
      <w:pPr>
        <w:widowControl w:val="0"/>
        <w:tabs>
          <w:tab w:val="right" w:pos="8306"/>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2023年，董事会严格遵守相关法律法规及金融监管要求，认真执行股东大会关于2022年经营计划、股金分红方案、绩效薪酬考核方案等各项决议，各项决议执行情况良好,扎实推进战略规划实施，提高资本管理精细化水平，确保资本充足率符合监管标准和业务发展需要。</w:t>
      </w:r>
    </w:p>
    <w:p w:rsidR="008768CC" w:rsidRDefault="008768CC" w:rsidP="008768CC">
      <w:pPr>
        <w:widowControl w:val="0"/>
        <w:tabs>
          <w:tab w:val="right" w:pos="8306"/>
        </w:tabs>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13.3董事会工作情况</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 坚持勤勉履职，公司</w:t>
      </w:r>
      <w:r>
        <w:rPr>
          <w:rFonts w:asciiTheme="minorEastAsia" w:eastAsiaTheme="minorEastAsia" w:hAnsiTheme="minorEastAsia"/>
          <w:sz w:val="24"/>
          <w:szCs w:val="24"/>
        </w:rPr>
        <w:t>治理</w:t>
      </w:r>
      <w:r>
        <w:rPr>
          <w:rFonts w:asciiTheme="minorEastAsia" w:eastAsiaTheme="minorEastAsia" w:hAnsiTheme="minorEastAsia" w:hint="eastAsia"/>
          <w:sz w:val="24"/>
          <w:szCs w:val="24"/>
        </w:rPr>
        <w:t>突显成效。本行董事会严格按照法律法规和本行章程规定，认真履行职责，有效发挥战略决策职能，有力保障本行公司治理机制的</w:t>
      </w:r>
      <w:r>
        <w:rPr>
          <w:rFonts w:asciiTheme="minorEastAsia" w:eastAsiaTheme="minorEastAsia" w:hAnsiTheme="minorEastAsia" w:hint="eastAsia"/>
          <w:sz w:val="24"/>
          <w:szCs w:val="24"/>
        </w:rPr>
        <w:lastRenderedPageBreak/>
        <w:t>规范运转，推动全行各项业务持续稳健发展。一是坚持党</w:t>
      </w:r>
      <w:proofErr w:type="gramStart"/>
      <w:r>
        <w:rPr>
          <w:rFonts w:asciiTheme="minorEastAsia" w:eastAsiaTheme="minorEastAsia" w:hAnsiTheme="minorEastAsia" w:hint="eastAsia"/>
          <w:sz w:val="24"/>
          <w:szCs w:val="24"/>
        </w:rPr>
        <w:t>管金融</w:t>
      </w:r>
      <w:proofErr w:type="gramEnd"/>
      <w:r>
        <w:rPr>
          <w:rFonts w:asciiTheme="minorEastAsia" w:eastAsiaTheme="minorEastAsia" w:hAnsiTheme="minorEastAsia" w:hint="eastAsia"/>
          <w:sz w:val="24"/>
          <w:szCs w:val="24"/>
        </w:rPr>
        <w:t>科学决策。坚持和加强党的全面领导，全面落实新时代党的建设总要求，修订完善了公司章程，严格执行“三重一大”党委会前置制度，充分发挥党委“把方向、管大局、保落实”的政治核心和领导核心作用。二是平稳完成董事会换届。按照监管规定，本行召开股东大会，选举和确认了新一届董事会董事，顺利完成董事会换届工作，并及时优化董事会成员结构。三是</w:t>
      </w:r>
      <w:proofErr w:type="gramStart"/>
      <w:r>
        <w:rPr>
          <w:rFonts w:asciiTheme="minorEastAsia" w:eastAsiaTheme="minorEastAsia" w:hAnsiTheme="minorEastAsia" w:hint="eastAsia"/>
          <w:sz w:val="24"/>
          <w:szCs w:val="24"/>
        </w:rPr>
        <w:t>勤勉履行</w:t>
      </w:r>
      <w:proofErr w:type="gramEnd"/>
      <w:r>
        <w:rPr>
          <w:rFonts w:asciiTheme="minorEastAsia" w:eastAsiaTheme="minorEastAsia" w:hAnsiTheme="minorEastAsia" w:hint="eastAsia"/>
          <w:sz w:val="24"/>
          <w:szCs w:val="24"/>
        </w:rPr>
        <w:t>董事会职责。董事会按照法律法规以及本行章程的规定，按时召集召开治理层会议。2023年，召开股东大会3次，审议通过决议31项，通报事项10项；董事会15次，通过决议160项，通报事项34项。通过围绕本行发展战略和经营管理等重大事项，科学分析</w:t>
      </w:r>
      <w:proofErr w:type="gramStart"/>
      <w:r>
        <w:rPr>
          <w:rFonts w:asciiTheme="minorEastAsia" w:eastAsiaTheme="minorEastAsia" w:hAnsiTheme="minorEastAsia" w:hint="eastAsia"/>
          <w:sz w:val="24"/>
          <w:szCs w:val="24"/>
        </w:rPr>
        <w:t>研</w:t>
      </w:r>
      <w:proofErr w:type="gramEnd"/>
      <w:r>
        <w:rPr>
          <w:rFonts w:asciiTheme="minorEastAsia" w:eastAsiaTheme="minorEastAsia" w:hAnsiTheme="minorEastAsia" w:hint="eastAsia"/>
          <w:sz w:val="24"/>
          <w:szCs w:val="24"/>
        </w:rPr>
        <w:t>判，审慎依规决策，确保各项决议得以有效贯彻落实。三是有效发挥独立董事作用。本行独立董事立足专业优势和从业经验，对重大关联交易、利润分配方案等重大事项建言献策，以独立、客观、审慎的态度对各项议案进行投票表决。年内，3名独立董事共发表书面独立意见90余份，切实提高董事会决策科学性。</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 保持战略定力，促进全面转型发展。本行董事会始终保持战略定力，密切关注经济金融形势和疫情态势的变化，充分发挥战略引领和决策作用，坚持深化机制改革，提升专业能力，奋力开创改革发展新局面。一是坚持战略延续保持定力。制定了2023-2025年战略发展规划，并密切关注经济金融形势和疫情态势的变化，坚持深化机制改革，强化督导落实，充分发挥战略引领和决策作用，奋力开创改革发展新局面。二是坚持战略定位促进转型。2023年本行牢牢坚守服务“三农”和中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的定位，以推动高质量发展为主题，以改革创新为根本动力，聚焦防控金融风险、服务实体经济、优化服务三项核心任务，深化转型改革，积极</w:t>
      </w:r>
      <w:proofErr w:type="gramStart"/>
      <w:r>
        <w:rPr>
          <w:rFonts w:asciiTheme="minorEastAsia" w:eastAsiaTheme="minorEastAsia" w:hAnsiTheme="minorEastAsia" w:hint="eastAsia"/>
          <w:sz w:val="24"/>
          <w:szCs w:val="24"/>
        </w:rPr>
        <w:t>践行</w:t>
      </w:r>
      <w:proofErr w:type="gramEnd"/>
      <w:r>
        <w:rPr>
          <w:rFonts w:asciiTheme="minorEastAsia" w:eastAsiaTheme="minorEastAsia" w:hAnsiTheme="minorEastAsia" w:hint="eastAsia"/>
          <w:sz w:val="24"/>
          <w:szCs w:val="24"/>
        </w:rPr>
        <w:t>勤劳金融理念，全面深入推进农村（普惠）金融户户通工程，深入推进农商行系统治理体系和治理能力现代化，推动信宜农商银行向“小而美”现代金融企业转型发展。三是坚持战略实施确保成效。经过一年的战略实施，全面推进网格化营销和整村授信，频出乡村振兴支持举措，不断开创农村金融户户通工作新局面，全力服务社会民生和实体经济，业务结构不断优化；管理变革取得积极进展，服务和管理支撑能力明显提升，为业务创新和发展提供有力的管理保障，促进本行</w:t>
      </w:r>
      <w:r>
        <w:rPr>
          <w:rFonts w:asciiTheme="minorEastAsia" w:eastAsiaTheme="minorEastAsia" w:hAnsiTheme="minorEastAsia" w:hint="eastAsia"/>
          <w:sz w:val="24"/>
          <w:szCs w:val="24"/>
        </w:rPr>
        <w:lastRenderedPageBreak/>
        <w:t>稳健经营，推动高质量发展。截至2023年12月末，本行支农支小贷款保持增长，涉农贷款余额89.78亿元、小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贷款余额54.49亿元。本行支农支小贷款总量、投放量和覆盖面均位居信宜市银行业之首。</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3. 深化风险管控，夯实稳健发展根基。董事会密切关注全行风险情况，针对本行高坡支行“4.13”案件，深刻汲取教训，进一步坚守合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底线，推动管理</w:t>
      </w:r>
      <w:proofErr w:type="gramStart"/>
      <w:r>
        <w:rPr>
          <w:rFonts w:asciiTheme="minorEastAsia" w:eastAsiaTheme="minorEastAsia" w:hAnsiTheme="minorEastAsia" w:hint="eastAsia"/>
          <w:sz w:val="24"/>
          <w:szCs w:val="24"/>
        </w:rPr>
        <w:t>层完善</w:t>
      </w:r>
      <w:proofErr w:type="gramEnd"/>
      <w:r>
        <w:rPr>
          <w:rFonts w:asciiTheme="minorEastAsia" w:eastAsiaTheme="minorEastAsia" w:hAnsiTheme="minorEastAsia" w:hint="eastAsia"/>
          <w:sz w:val="24"/>
          <w:szCs w:val="24"/>
        </w:rPr>
        <w:t>风险管理体制机制，把加强风险管理摆在更加突出的位置。一是健全公司治理制度。根据最新监管规定，结合本行实际情况，我部修订并印发了《章程》《股份管理操作规程》《主要股东承诺管理办法》《股份管理办法》《信息披露管理办法》等15份公司治理制度，确保公司治理制度体系全面匹配最新监管要求。二是提高全面风险治理能力。坚持“审慎稳健”的基调，通过年度风险容忍度方案，将风险防前移，实现经营安全、流动与盈利的动态平衡；明确授权方案，适当调整授权限额，使授权方式和额度更加适应业务发展；认真审议风险评估报告、全面风险管理报告、</w:t>
      </w:r>
      <w:proofErr w:type="gramStart"/>
      <w:r>
        <w:rPr>
          <w:rFonts w:asciiTheme="minorEastAsia" w:eastAsiaTheme="minorEastAsia" w:hAnsiTheme="minorEastAsia" w:hint="eastAsia"/>
          <w:sz w:val="24"/>
          <w:szCs w:val="24"/>
        </w:rPr>
        <w:t>案防工作</w:t>
      </w:r>
      <w:proofErr w:type="gramEnd"/>
      <w:r>
        <w:rPr>
          <w:rFonts w:asciiTheme="minorEastAsia" w:eastAsiaTheme="minorEastAsia" w:hAnsiTheme="minorEastAsia" w:hint="eastAsia"/>
          <w:sz w:val="24"/>
          <w:szCs w:val="24"/>
        </w:rPr>
        <w:t>报告、反洗</w:t>
      </w:r>
      <w:proofErr w:type="gramStart"/>
      <w:r>
        <w:rPr>
          <w:rFonts w:asciiTheme="minorEastAsia" w:eastAsiaTheme="minorEastAsia" w:hAnsiTheme="minorEastAsia" w:hint="eastAsia"/>
          <w:sz w:val="24"/>
          <w:szCs w:val="24"/>
        </w:rPr>
        <w:t>钱工作</w:t>
      </w:r>
      <w:proofErr w:type="gramEnd"/>
      <w:r>
        <w:rPr>
          <w:rFonts w:asciiTheme="minorEastAsia" w:eastAsiaTheme="minorEastAsia" w:hAnsiTheme="minorEastAsia" w:hint="eastAsia"/>
          <w:sz w:val="24"/>
          <w:szCs w:val="24"/>
        </w:rPr>
        <w:t>报告等提案，共同商讨监管部门下发的监管通报、风险提示以及本行相应的整改报告，风险管理的前瞻性和有效性得以增强。三是加强内控体系建设。董事会审议了内部控制制度、内部控制评价报告等提案，持续推动内部控制体系的改进和完善；督促管理层压实内控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管理责任，进一步加强员工异常行为管理，保持案件防范高压态势，加强合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文化宣贯，夯实合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管理基础；强化监管意见的指导作用，认真配合监管部门开展各项现场及非现场检查，建立问题清单和</w:t>
      </w:r>
      <w:proofErr w:type="gramStart"/>
      <w:r>
        <w:rPr>
          <w:rFonts w:asciiTheme="minorEastAsia" w:eastAsiaTheme="minorEastAsia" w:hAnsiTheme="minorEastAsia" w:hint="eastAsia"/>
          <w:sz w:val="24"/>
          <w:szCs w:val="24"/>
        </w:rPr>
        <w:t>整改台</w:t>
      </w:r>
      <w:proofErr w:type="gramEnd"/>
      <w:r>
        <w:rPr>
          <w:rFonts w:asciiTheme="minorEastAsia" w:eastAsiaTheme="minorEastAsia" w:hAnsiTheme="minorEastAsia" w:hint="eastAsia"/>
          <w:sz w:val="24"/>
          <w:szCs w:val="24"/>
        </w:rPr>
        <w:t>账，将跟踪整改落到实处，以此促进内控机制不断健全。四是持续优化审计体系。贯彻落实“以风险、合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为导向，以信息化手段为支撑”审计理念，发挥审计的“眼睛”“利剑”“参谋”作用，切实守住风险底线。建立网格化监测工作机制，推进农商行</w:t>
      </w:r>
      <w:proofErr w:type="gramStart"/>
      <w:r>
        <w:rPr>
          <w:rFonts w:asciiTheme="minorEastAsia" w:eastAsiaTheme="minorEastAsia" w:hAnsiTheme="minorEastAsia" w:hint="eastAsia"/>
          <w:sz w:val="24"/>
          <w:szCs w:val="24"/>
        </w:rPr>
        <w:t>版机构</w:t>
      </w:r>
      <w:proofErr w:type="gramEnd"/>
      <w:r>
        <w:rPr>
          <w:rFonts w:asciiTheme="minorEastAsia" w:eastAsiaTheme="minorEastAsia" w:hAnsiTheme="minorEastAsia" w:hint="eastAsia"/>
          <w:sz w:val="24"/>
          <w:szCs w:val="24"/>
        </w:rPr>
        <w:t>塑像工作，开展各项审计监督工作，提高审计监督，守住风险底线。通过对审计工作总结报告及工作计划进行审定，按季听取内部审计监督情况报告，关注指导审计发现问题的整改情况和问责力度，有效发挥内部审计监督作用，提升审计工作质效。</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4. 加强股权管理，做好关联交易控制。本行董事会严格按照监管新</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，加强股权管理，不断提升股东股权的系统化、数字化管理水平，优化关联交易管理机制，</w:t>
      </w:r>
      <w:r>
        <w:rPr>
          <w:rFonts w:asciiTheme="minorEastAsia" w:eastAsiaTheme="minorEastAsia" w:hAnsiTheme="minorEastAsia" w:hint="eastAsia"/>
          <w:sz w:val="24"/>
          <w:szCs w:val="24"/>
        </w:rPr>
        <w:lastRenderedPageBreak/>
        <w:t>规范关联交易行为，控制关联交易风险，提升关联交易管理水平，将股东股权管理与关联交易风险控制摆在重要位置，切实维护本行规范运作和稳健经营。一是推动股权结构优化。2023年4月，地方国有资本成功入股本行，并成为第一大股东，房地产法人股东持股比例下降，进一步优化本行股权结构，维护股权稳定，不断夯实公司运行基础。二是强化股东行为管理。建立股东承诺档案，落实股东承诺管理，完善主要股东动态监测和评估机制，持续把好股东准入关，强化对股东资质和资金来源的穿透管理，加强股权质押特别是交叉质押风险监测，进一步提升股权治理质效。三是提升股权管理科技水平。积极配合省联社股权管理系统、监管数据标准化报送系统管理系统的建设，参与系统的结构优化、测试、验收、问题排查工作，不断提升股东股权的系统化、数字化管理水平，促进科技与公司治理的融合。</w:t>
      </w:r>
      <w:r>
        <w:rPr>
          <w:rFonts w:asciiTheme="minorEastAsia" w:eastAsiaTheme="minorEastAsia" w:hAnsiTheme="minorEastAsia" w:hint="eastAsia"/>
          <w:bCs/>
          <w:sz w:val="24"/>
          <w:szCs w:val="24"/>
        </w:rPr>
        <w:t>四是严控关联交易风险。</w:t>
      </w:r>
      <w:r>
        <w:rPr>
          <w:rFonts w:asciiTheme="minorEastAsia" w:eastAsiaTheme="minorEastAsia" w:hAnsiTheme="minorEastAsia" w:hint="eastAsia"/>
          <w:sz w:val="24"/>
          <w:szCs w:val="24"/>
        </w:rPr>
        <w:t>董事会及时审议关联交易专项报告、重大关联交易事项等提案，落实关联交易管理职责；董事会及专门委员会按照诚信、公允、市场化商业原则审批关联交易，保障关联交易不存在损害本行及股东利益的情况。截至2023年12月末，备案一般关联交易29笔，审批重大关联交易6笔；本行全部</w:t>
      </w:r>
      <w:proofErr w:type="gramStart"/>
      <w:r>
        <w:rPr>
          <w:rFonts w:asciiTheme="minorEastAsia" w:eastAsiaTheme="minorEastAsia" w:hAnsiTheme="minorEastAsia" w:hint="eastAsia"/>
          <w:sz w:val="24"/>
          <w:szCs w:val="24"/>
        </w:rPr>
        <w:t>关联方授信</w:t>
      </w:r>
      <w:proofErr w:type="gramEnd"/>
      <w:r>
        <w:rPr>
          <w:rFonts w:asciiTheme="minorEastAsia" w:eastAsiaTheme="minorEastAsia" w:hAnsiTheme="minorEastAsia" w:hint="eastAsia"/>
          <w:sz w:val="24"/>
          <w:szCs w:val="24"/>
        </w:rPr>
        <w:t>余额为11,304.82万元，占资本净额比例为5.44%，</w:t>
      </w:r>
      <w:proofErr w:type="gramStart"/>
      <w:r>
        <w:rPr>
          <w:rFonts w:asciiTheme="minorEastAsia" w:eastAsiaTheme="minorEastAsia" w:hAnsiTheme="minorEastAsia" w:hint="eastAsia"/>
          <w:sz w:val="24"/>
          <w:szCs w:val="24"/>
        </w:rPr>
        <w:t>关联方授信</w:t>
      </w:r>
      <w:proofErr w:type="gramEnd"/>
      <w:r>
        <w:rPr>
          <w:rFonts w:asciiTheme="minorEastAsia" w:eastAsiaTheme="minorEastAsia" w:hAnsiTheme="minorEastAsia" w:hint="eastAsia"/>
          <w:sz w:val="24"/>
          <w:szCs w:val="24"/>
        </w:rPr>
        <w:t>集中度符合监管要求。</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5. 规范信息披露，保护股东合法权益。本行董事会重视并正确处理好股东利益、国家利益和员工利益三者之间的关系，切实维护存款人和股东的合法权益，特别是中小股东的利益。在报告期内，董事会落实监管规定，进一步加强信息披露工作，切实保证信息披露的及时性、准确性、完整性和合法性。一是依法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披露信息。董事会严格按照监管要求承担信息披露职责，真实、准确、及时、完整地做好信息披露工作。2023年通过官方网站渠道开展信息披露工作，主要披露了年度报告、股东大会决议公告、股金分红、关联交易等信息。二是切实保障股东权益。认真向股东大会报告了董事会工作情况、财务预算、决算情况等重要事项，自觉接受股东大会监督，切实保障股东有效行使参与权、知情权和表决权。三是深化股东沟通交流。董事会通过开展股东交流会、股东培训班、独立董事邮箱、</w:t>
      </w:r>
      <w:r>
        <w:rPr>
          <w:rFonts w:asciiTheme="minorEastAsia" w:eastAsiaTheme="minorEastAsia" w:hAnsiTheme="minorEastAsia" w:hint="eastAsia"/>
          <w:sz w:val="24"/>
          <w:szCs w:val="24"/>
        </w:rPr>
        <w:lastRenderedPageBreak/>
        <w:t>董事长接待日等多种形式与股东保持良性互动，切实维护广大股东特别是中小股东权益，树立良好社会形象。</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6. </w:t>
      </w:r>
      <w:proofErr w:type="gramStart"/>
      <w:r>
        <w:rPr>
          <w:rFonts w:asciiTheme="minorEastAsia" w:eastAsiaTheme="minorEastAsia" w:hAnsiTheme="minorEastAsia" w:hint="eastAsia"/>
          <w:sz w:val="24"/>
          <w:szCs w:val="24"/>
        </w:rPr>
        <w:t>践行</w:t>
      </w:r>
      <w:proofErr w:type="gramEnd"/>
      <w:r>
        <w:rPr>
          <w:rFonts w:asciiTheme="minorEastAsia" w:eastAsiaTheme="minorEastAsia" w:hAnsiTheme="minorEastAsia" w:hint="eastAsia"/>
          <w:sz w:val="24"/>
          <w:szCs w:val="24"/>
        </w:rPr>
        <w:t>社会责任，提升企业文化品牌。董事会永葆初心，积极</w:t>
      </w:r>
      <w:proofErr w:type="gramStart"/>
      <w:r>
        <w:rPr>
          <w:rFonts w:asciiTheme="minorEastAsia" w:eastAsiaTheme="minorEastAsia" w:hAnsiTheme="minorEastAsia" w:hint="eastAsia"/>
          <w:sz w:val="24"/>
          <w:szCs w:val="24"/>
        </w:rPr>
        <w:t>践行</w:t>
      </w:r>
      <w:proofErr w:type="gramEnd"/>
      <w:r>
        <w:rPr>
          <w:rFonts w:asciiTheme="minorEastAsia" w:eastAsiaTheme="minorEastAsia" w:hAnsiTheme="minorEastAsia" w:hint="eastAsia"/>
          <w:sz w:val="24"/>
          <w:szCs w:val="24"/>
        </w:rPr>
        <w:t>社会责任，指导全行树立具有社会责任感的价值准则、企业文化和经营理念，大力</w:t>
      </w:r>
      <w:proofErr w:type="gramStart"/>
      <w:r>
        <w:rPr>
          <w:rFonts w:asciiTheme="minorEastAsia" w:eastAsiaTheme="minorEastAsia" w:hAnsiTheme="minorEastAsia" w:hint="eastAsia"/>
          <w:sz w:val="24"/>
          <w:szCs w:val="24"/>
        </w:rPr>
        <w:t>践行</w:t>
      </w:r>
      <w:proofErr w:type="gramEnd"/>
      <w:r>
        <w:rPr>
          <w:rFonts w:asciiTheme="minorEastAsia" w:eastAsiaTheme="minorEastAsia" w:hAnsiTheme="minorEastAsia" w:hint="eastAsia"/>
          <w:sz w:val="24"/>
          <w:szCs w:val="24"/>
        </w:rPr>
        <w:t>普惠金融，持续为股东、员工、客户和社会公众创造价值，为信宜经济社会发展贡献信宜农商银行力量。一是大力支持社会公益事业。全员积极参与植树造林、人居环境整治、630扶贫日捐款、献血等社会公益活动，成功创建省级工会爱心驿站，将经营管理与</w:t>
      </w:r>
      <w:proofErr w:type="gramStart"/>
      <w:r>
        <w:rPr>
          <w:rFonts w:asciiTheme="minorEastAsia" w:eastAsiaTheme="minorEastAsia" w:hAnsiTheme="minorEastAsia" w:hint="eastAsia"/>
          <w:sz w:val="24"/>
          <w:szCs w:val="24"/>
        </w:rPr>
        <w:t>践行</w:t>
      </w:r>
      <w:proofErr w:type="gramEnd"/>
      <w:r>
        <w:rPr>
          <w:rFonts w:asciiTheme="minorEastAsia" w:eastAsiaTheme="minorEastAsia" w:hAnsiTheme="minorEastAsia" w:hint="eastAsia"/>
          <w:sz w:val="24"/>
          <w:szCs w:val="24"/>
        </w:rPr>
        <w:t>社会责任紧密结合，展现出强烈的社会责任感和服务社会的良好形象。二是不断提升普惠金融服务的广度、深度。大力支持“百千万工程”和“制造业当家”，开展“转作风、大走访、大营销”活动，截至2023年12月末，全行累计走访对接医院和乡镇卫生院26间，制造业企业674家，五大工业园区企业115家，楼盘43个，提前介入政府19个重点项目，实现走访100%覆盖。</w:t>
      </w:r>
      <w:proofErr w:type="gramStart"/>
      <w:r>
        <w:rPr>
          <w:rFonts w:asciiTheme="minorEastAsia" w:eastAsiaTheme="minorEastAsia" w:hAnsiTheme="minorEastAsia" w:hint="eastAsia"/>
          <w:sz w:val="24"/>
          <w:szCs w:val="24"/>
        </w:rPr>
        <w:t>强化近</w:t>
      </w:r>
      <w:proofErr w:type="gramEnd"/>
      <w:r>
        <w:rPr>
          <w:rFonts w:asciiTheme="minorEastAsia" w:eastAsiaTheme="minorEastAsia" w:hAnsiTheme="minorEastAsia" w:hint="eastAsia"/>
          <w:sz w:val="24"/>
          <w:szCs w:val="24"/>
        </w:rPr>
        <w:t>8千人的“1+N+n”金融特派员队伍作用，积极开展信用农户、信用村培育和评定工作，完善农村金融服务体系。三是持续减费让利，提</w:t>
      </w:r>
      <w:proofErr w:type="gramStart"/>
      <w:r>
        <w:rPr>
          <w:rFonts w:asciiTheme="minorEastAsia" w:eastAsiaTheme="minorEastAsia" w:hAnsiTheme="minorEastAsia" w:hint="eastAsia"/>
          <w:sz w:val="24"/>
          <w:szCs w:val="24"/>
        </w:rPr>
        <w:t>振消费扩</w:t>
      </w:r>
      <w:proofErr w:type="gramEnd"/>
      <w:r>
        <w:rPr>
          <w:rFonts w:asciiTheme="minorEastAsia" w:eastAsiaTheme="minorEastAsia" w:hAnsiTheme="minorEastAsia" w:hint="eastAsia"/>
          <w:sz w:val="24"/>
          <w:szCs w:val="24"/>
        </w:rPr>
        <w:t>内需。2023年累计为市场主体减费让利达0.34亿元。实行“四放宽</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优惠”政策，逐步提高特定客户（产品）的授信额度、利率优惠力度，创新开展“信贷夜市”助力普惠金融贷款促销活动，结合节日特色如开展元旦春节、中秋国庆、教师节、双11、双12等贷款优惠回馈活动，推出团购</w:t>
      </w:r>
      <w:proofErr w:type="gramStart"/>
      <w:r>
        <w:rPr>
          <w:rFonts w:asciiTheme="minorEastAsia" w:eastAsiaTheme="minorEastAsia" w:hAnsiTheme="minorEastAsia" w:hint="eastAsia"/>
          <w:sz w:val="24"/>
          <w:szCs w:val="24"/>
        </w:rPr>
        <w:t>办贷</w:t>
      </w:r>
      <w:proofErr w:type="gramEnd"/>
      <w:r>
        <w:rPr>
          <w:rFonts w:asciiTheme="minorEastAsia" w:eastAsiaTheme="minorEastAsia" w:hAnsiTheme="minorEastAsia" w:hint="eastAsia"/>
          <w:sz w:val="24"/>
          <w:szCs w:val="24"/>
        </w:rPr>
        <w:t>形式。四是保护金融消费者合法权益。持续开展反诈、反洗</w:t>
      </w:r>
      <w:proofErr w:type="gramStart"/>
      <w:r>
        <w:rPr>
          <w:rFonts w:asciiTheme="minorEastAsia" w:eastAsiaTheme="minorEastAsia" w:hAnsiTheme="minorEastAsia" w:hint="eastAsia"/>
          <w:sz w:val="24"/>
          <w:szCs w:val="24"/>
        </w:rPr>
        <w:t>钱系列</w:t>
      </w:r>
      <w:proofErr w:type="gramEnd"/>
      <w:r>
        <w:rPr>
          <w:rFonts w:asciiTheme="minorEastAsia" w:eastAsiaTheme="minorEastAsia" w:hAnsiTheme="minorEastAsia" w:hint="eastAsia"/>
          <w:sz w:val="24"/>
          <w:szCs w:val="24"/>
        </w:rPr>
        <w:t>宣传，不断强化消费者权益保护机制体制建设。2023年被国家金融监督管理总局茂名监管分局评为2023年“金融消费者权益保护教育宣传月”先进单位。</w:t>
      </w:r>
    </w:p>
    <w:p w:rsidR="008768CC" w:rsidRDefault="008768CC" w:rsidP="008768CC">
      <w:pPr>
        <w:widowControl w:val="0"/>
        <w:tabs>
          <w:tab w:val="right" w:pos="8306"/>
        </w:tabs>
        <w:spacing w:line="46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13.4独立董事的独立性以及履职情况</w:t>
      </w:r>
    </w:p>
    <w:p w:rsidR="008768CC" w:rsidRDefault="008768CC" w:rsidP="008768CC">
      <w:pPr>
        <w:widowControl w:val="0"/>
        <w:tabs>
          <w:tab w:val="right" w:pos="8306"/>
        </w:tabs>
        <w:spacing w:line="46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现有3名独立董事，报告期内，独立董事勤勉尽职，积极、准时出席股东大会、董事会和专门委员会会议，为本行工作的时间符合监管相关规定。独立董事能够充分发挥自身的专业技能和职业特长，在董事会上积极参与提案的酝酿、审议和决策，就聘任高级管理人员、利润分配方案、重大关联交易等重要事项发表独立意见，有效维护本行及其他利益相关者、中小股东的合法权益，切实为董事会履行决策和监督职能发挥作用。</w:t>
      </w:r>
    </w:p>
    <w:p w:rsidR="008768CC" w:rsidRDefault="008768CC" w:rsidP="008768CC">
      <w:pPr>
        <w:widowControl w:val="0"/>
        <w:tabs>
          <w:tab w:val="right" w:pos="8306"/>
        </w:tabs>
        <w:spacing w:line="46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lastRenderedPageBreak/>
        <w:t>13.5  202</w:t>
      </w:r>
      <w:r>
        <w:rPr>
          <w:rFonts w:asciiTheme="minorEastAsia" w:eastAsiaTheme="minorEastAsia" w:hAnsiTheme="minorEastAsia" w:hint="eastAsia"/>
          <w:b/>
          <w:sz w:val="24"/>
          <w:szCs w:val="24"/>
        </w:rPr>
        <w:t>3年度利润分配方案</w:t>
      </w:r>
    </w:p>
    <w:p w:rsidR="008768CC" w:rsidRDefault="008768CC" w:rsidP="008768CC">
      <w:pPr>
        <w:spacing w:line="46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本行2023年度账面利润为</w:t>
      </w:r>
      <w:r>
        <w:rPr>
          <w:rFonts w:asciiTheme="minorEastAsia" w:eastAsiaTheme="minorEastAsia" w:hAnsiTheme="minorEastAsia"/>
          <w:sz w:val="24"/>
          <w:szCs w:val="24"/>
        </w:rPr>
        <w:t>21,304.20</w:t>
      </w:r>
      <w:r>
        <w:rPr>
          <w:rFonts w:asciiTheme="minorEastAsia" w:eastAsiaTheme="minorEastAsia" w:hAnsiTheme="minorEastAsia" w:hint="eastAsia"/>
          <w:sz w:val="24"/>
          <w:szCs w:val="24"/>
        </w:rPr>
        <w:t>万元，所得税费用</w:t>
      </w:r>
      <w:r>
        <w:rPr>
          <w:rFonts w:asciiTheme="minorEastAsia" w:eastAsiaTheme="minorEastAsia" w:hAnsiTheme="minorEastAsia"/>
          <w:sz w:val="24"/>
          <w:szCs w:val="24"/>
        </w:rPr>
        <w:t>5,358.25</w:t>
      </w:r>
      <w:r>
        <w:rPr>
          <w:rFonts w:asciiTheme="minorEastAsia" w:eastAsiaTheme="minorEastAsia" w:hAnsiTheme="minorEastAsia" w:hint="eastAsia"/>
          <w:sz w:val="24"/>
          <w:szCs w:val="24"/>
        </w:rPr>
        <w:t>万元，税后净利润为</w:t>
      </w:r>
      <w:r>
        <w:rPr>
          <w:rFonts w:asciiTheme="minorEastAsia" w:eastAsiaTheme="minorEastAsia" w:hAnsiTheme="minorEastAsia"/>
          <w:sz w:val="24"/>
          <w:szCs w:val="24"/>
        </w:rPr>
        <w:t>15,945.95</w:t>
      </w:r>
      <w:r>
        <w:rPr>
          <w:rFonts w:asciiTheme="minorEastAsia" w:eastAsiaTheme="minorEastAsia" w:hAnsiTheme="minorEastAsia" w:hint="eastAsia"/>
          <w:sz w:val="24"/>
          <w:szCs w:val="24"/>
        </w:rPr>
        <w:t>万元。根据省联社2023年年终决算工作指导意见要求，并结合本行实际情况，遵循可持续发展原则，兼顾企业和投资者、债权人及职工合法权益，平衡企业发展和投资回报，拟定2023年度利润分配方案如下：</w:t>
      </w:r>
    </w:p>
    <w:p w:rsidR="008768CC" w:rsidRDefault="008768CC" w:rsidP="008768CC">
      <w:pPr>
        <w:spacing w:line="46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净利润分配顺序及标准：</w:t>
      </w:r>
    </w:p>
    <w:p w:rsidR="008768CC" w:rsidRDefault="008768CC" w:rsidP="008768CC">
      <w:pPr>
        <w:spacing w:line="46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1.提取法定盈余公积金</w:t>
      </w:r>
      <w:r>
        <w:rPr>
          <w:rFonts w:asciiTheme="minorEastAsia" w:eastAsiaTheme="minorEastAsia" w:hAnsiTheme="minorEastAsia"/>
          <w:sz w:val="24"/>
          <w:szCs w:val="24"/>
        </w:rPr>
        <w:t>1,594.6</w:t>
      </w:r>
      <w:r>
        <w:rPr>
          <w:rFonts w:asciiTheme="minorEastAsia" w:eastAsiaTheme="minorEastAsia" w:hAnsiTheme="minorEastAsia" w:hint="eastAsia"/>
          <w:sz w:val="24"/>
          <w:szCs w:val="24"/>
        </w:rPr>
        <w:t>万元，占净利润的10%。</w:t>
      </w:r>
    </w:p>
    <w:p w:rsidR="008768CC" w:rsidRDefault="008768CC" w:rsidP="008768CC">
      <w:pPr>
        <w:spacing w:line="46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2.提取一般风险准备</w:t>
      </w:r>
      <w:r>
        <w:rPr>
          <w:rFonts w:asciiTheme="minorEastAsia" w:eastAsiaTheme="minorEastAsia" w:hAnsiTheme="minorEastAsia"/>
          <w:sz w:val="24"/>
          <w:szCs w:val="24"/>
        </w:rPr>
        <w:t>1,594.6</w:t>
      </w:r>
      <w:r>
        <w:rPr>
          <w:rFonts w:asciiTheme="minorEastAsia" w:eastAsiaTheme="minorEastAsia" w:hAnsiTheme="minorEastAsia" w:hint="eastAsia"/>
          <w:sz w:val="24"/>
          <w:szCs w:val="24"/>
        </w:rPr>
        <w:t>万元，占净利润的10%。</w:t>
      </w:r>
    </w:p>
    <w:p w:rsidR="008768CC" w:rsidRDefault="008768CC" w:rsidP="008768CC">
      <w:pPr>
        <w:spacing w:line="46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3.留存未分配利润</w:t>
      </w:r>
      <w:r>
        <w:rPr>
          <w:rFonts w:asciiTheme="minorEastAsia" w:eastAsiaTheme="minorEastAsia" w:hAnsiTheme="minorEastAsia"/>
          <w:sz w:val="24"/>
          <w:szCs w:val="24"/>
        </w:rPr>
        <w:t>12,756.75</w:t>
      </w:r>
      <w:r>
        <w:rPr>
          <w:rFonts w:asciiTheme="minorEastAsia" w:eastAsiaTheme="minorEastAsia" w:hAnsiTheme="minorEastAsia" w:hint="eastAsia"/>
          <w:sz w:val="24"/>
          <w:szCs w:val="24"/>
        </w:rPr>
        <w:t>万元，占净利润的80%。</w:t>
      </w:r>
    </w:p>
    <w:p w:rsidR="008768CC" w:rsidRDefault="008768CC" w:rsidP="008768CC">
      <w:pPr>
        <w:spacing w:line="46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综合考虑股东权益，结合经济发展状况、本行可持续发展能力及财务承受能力，向投资者分配利润，综合分红率9.8%，其中：现金分红率9.8%，现金分红金额</w:t>
      </w:r>
      <w:r>
        <w:rPr>
          <w:rFonts w:asciiTheme="minorEastAsia" w:eastAsiaTheme="minorEastAsia" w:hAnsiTheme="minorEastAsia"/>
          <w:sz w:val="24"/>
          <w:szCs w:val="24"/>
        </w:rPr>
        <w:t>5,997.37</w:t>
      </w:r>
      <w:r>
        <w:rPr>
          <w:rFonts w:asciiTheme="minorEastAsia" w:eastAsiaTheme="minorEastAsia" w:hAnsiTheme="minorEastAsia" w:hint="eastAsia"/>
          <w:sz w:val="24"/>
          <w:szCs w:val="24"/>
        </w:rPr>
        <w:t>万元。</w:t>
      </w:r>
    </w:p>
    <w:p w:rsidR="008768CC" w:rsidRDefault="008768CC" w:rsidP="008768CC">
      <w:pPr>
        <w:spacing w:line="46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（上述利润分配方案将提交本行2023年度股东大会审议批准后实施。）</w:t>
      </w:r>
    </w:p>
    <w:p w:rsidR="008768CC" w:rsidRDefault="008768CC" w:rsidP="008768CC">
      <w:pPr>
        <w:widowControl w:val="0"/>
        <w:tabs>
          <w:tab w:val="right" w:pos="8306"/>
        </w:tabs>
        <w:spacing w:line="46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13.6主要控股公司及参股公司的情况</w:t>
      </w:r>
    </w:p>
    <w:p w:rsidR="008768CC" w:rsidRDefault="008768CC" w:rsidP="008768CC">
      <w:pPr>
        <w:widowControl w:val="0"/>
        <w:tabs>
          <w:tab w:val="right" w:pos="8306"/>
        </w:tabs>
        <w:spacing w:line="46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截至报告期末，本行参股公司共4家，具体情况见下表列示：</w:t>
      </w:r>
    </w:p>
    <w:p w:rsidR="008768CC" w:rsidRDefault="008768CC" w:rsidP="008768CC">
      <w:pPr>
        <w:widowControl w:val="0"/>
        <w:tabs>
          <w:tab w:val="right" w:pos="8306"/>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单位：万股、万元、%</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9"/>
        <w:gridCol w:w="3799"/>
        <w:gridCol w:w="1424"/>
        <w:gridCol w:w="1177"/>
        <w:gridCol w:w="1338"/>
      </w:tblGrid>
      <w:tr w:rsidR="008768CC" w:rsidTr="00293A0E">
        <w:trPr>
          <w:trHeight w:val="567"/>
          <w:jc w:val="center"/>
        </w:trPr>
        <w:tc>
          <w:tcPr>
            <w:tcW w:w="403"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2255"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参股公司名称</w:t>
            </w:r>
          </w:p>
        </w:tc>
        <w:tc>
          <w:tcPr>
            <w:tcW w:w="846"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投资股份数</w:t>
            </w:r>
          </w:p>
        </w:tc>
        <w:tc>
          <w:tcPr>
            <w:tcW w:w="699"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参股资金</w:t>
            </w:r>
          </w:p>
        </w:tc>
        <w:tc>
          <w:tcPr>
            <w:tcW w:w="795"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持股比例</w:t>
            </w:r>
          </w:p>
        </w:tc>
      </w:tr>
      <w:tr w:rsidR="008768CC" w:rsidTr="00293A0E">
        <w:trPr>
          <w:jc w:val="center"/>
        </w:trPr>
        <w:tc>
          <w:tcPr>
            <w:tcW w:w="403"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255" w:type="pct"/>
            <w:vAlign w:val="center"/>
          </w:tcPr>
          <w:p w:rsidR="008768CC" w:rsidRDefault="008768CC" w:rsidP="00293A0E">
            <w:pPr>
              <w:widowControl w:val="0"/>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广东省农村信用社联合社</w:t>
            </w:r>
          </w:p>
        </w:tc>
        <w:tc>
          <w:tcPr>
            <w:tcW w:w="846" w:type="pct"/>
            <w:vAlign w:val="center"/>
          </w:tcPr>
          <w:p w:rsidR="008768CC" w:rsidRDefault="008768CC" w:rsidP="008768CC">
            <w:pPr>
              <w:widowControl w:val="0"/>
              <w:tabs>
                <w:tab w:val="right" w:pos="8306"/>
              </w:tabs>
              <w:spacing w:line="500" w:lineRule="exact"/>
              <w:ind w:rightChars="128" w:right="410"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200</w:t>
            </w:r>
          </w:p>
        </w:tc>
        <w:tc>
          <w:tcPr>
            <w:tcW w:w="699" w:type="pct"/>
            <w:vAlign w:val="center"/>
          </w:tcPr>
          <w:p w:rsidR="008768CC" w:rsidRDefault="008768CC" w:rsidP="008768CC">
            <w:pPr>
              <w:widowControl w:val="0"/>
              <w:tabs>
                <w:tab w:val="right" w:pos="8306"/>
              </w:tabs>
              <w:spacing w:line="500" w:lineRule="exact"/>
              <w:ind w:rightChars="66" w:right="211"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200</w:t>
            </w:r>
          </w:p>
        </w:tc>
        <w:tc>
          <w:tcPr>
            <w:tcW w:w="795" w:type="pct"/>
            <w:vAlign w:val="center"/>
          </w:tcPr>
          <w:p w:rsidR="008768CC" w:rsidRDefault="008768CC" w:rsidP="008768CC">
            <w:pPr>
              <w:widowControl w:val="0"/>
              <w:tabs>
                <w:tab w:val="right" w:pos="8306"/>
              </w:tabs>
              <w:spacing w:line="500" w:lineRule="exact"/>
              <w:ind w:rightChars="107" w:right="342"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0.67</w:t>
            </w:r>
          </w:p>
        </w:tc>
      </w:tr>
      <w:tr w:rsidR="008768CC" w:rsidTr="00293A0E">
        <w:trPr>
          <w:jc w:val="center"/>
        </w:trPr>
        <w:tc>
          <w:tcPr>
            <w:tcW w:w="403"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255"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广东廉江农村商业银行股份有限公司</w:t>
            </w:r>
          </w:p>
        </w:tc>
        <w:tc>
          <w:tcPr>
            <w:tcW w:w="846" w:type="pct"/>
            <w:vAlign w:val="center"/>
          </w:tcPr>
          <w:p w:rsidR="008768CC" w:rsidRDefault="008768CC" w:rsidP="008768CC">
            <w:pPr>
              <w:widowControl w:val="0"/>
              <w:tabs>
                <w:tab w:val="right" w:pos="8306"/>
              </w:tabs>
              <w:spacing w:line="500" w:lineRule="exact"/>
              <w:ind w:rightChars="128" w:right="410"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15000</w:t>
            </w:r>
          </w:p>
        </w:tc>
        <w:tc>
          <w:tcPr>
            <w:tcW w:w="699" w:type="pct"/>
            <w:vAlign w:val="center"/>
          </w:tcPr>
          <w:p w:rsidR="008768CC" w:rsidRDefault="008768CC" w:rsidP="008768CC">
            <w:pPr>
              <w:widowControl w:val="0"/>
              <w:tabs>
                <w:tab w:val="right" w:pos="8306"/>
              </w:tabs>
              <w:spacing w:line="500" w:lineRule="exact"/>
              <w:ind w:rightChars="66" w:right="211"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30000</w:t>
            </w:r>
          </w:p>
        </w:tc>
        <w:tc>
          <w:tcPr>
            <w:tcW w:w="795" w:type="pct"/>
            <w:vAlign w:val="center"/>
          </w:tcPr>
          <w:p w:rsidR="008768CC" w:rsidRDefault="008768CC" w:rsidP="008768CC">
            <w:pPr>
              <w:widowControl w:val="0"/>
              <w:tabs>
                <w:tab w:val="right" w:pos="8306"/>
              </w:tabs>
              <w:spacing w:line="500" w:lineRule="exact"/>
              <w:ind w:rightChars="107" w:right="342"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19.76</w:t>
            </w:r>
          </w:p>
        </w:tc>
      </w:tr>
      <w:tr w:rsidR="008768CC" w:rsidTr="00293A0E">
        <w:trPr>
          <w:jc w:val="center"/>
        </w:trPr>
        <w:tc>
          <w:tcPr>
            <w:tcW w:w="403"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2255"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肇庆农村商业银行股份有限公司</w:t>
            </w:r>
          </w:p>
        </w:tc>
        <w:tc>
          <w:tcPr>
            <w:tcW w:w="846" w:type="pct"/>
            <w:vAlign w:val="center"/>
          </w:tcPr>
          <w:p w:rsidR="008768CC" w:rsidRDefault="008768CC" w:rsidP="008768CC">
            <w:pPr>
              <w:widowControl w:val="0"/>
              <w:tabs>
                <w:tab w:val="right" w:pos="8306"/>
              </w:tabs>
              <w:spacing w:line="500" w:lineRule="exact"/>
              <w:ind w:rightChars="128" w:right="410"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3000</w:t>
            </w:r>
          </w:p>
        </w:tc>
        <w:tc>
          <w:tcPr>
            <w:tcW w:w="699" w:type="pct"/>
            <w:vAlign w:val="center"/>
          </w:tcPr>
          <w:p w:rsidR="008768CC" w:rsidRDefault="008768CC" w:rsidP="008768CC">
            <w:pPr>
              <w:widowControl w:val="0"/>
              <w:tabs>
                <w:tab w:val="right" w:pos="8306"/>
              </w:tabs>
              <w:spacing w:line="500" w:lineRule="exact"/>
              <w:ind w:rightChars="66" w:right="211"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8400</w:t>
            </w:r>
          </w:p>
        </w:tc>
        <w:tc>
          <w:tcPr>
            <w:tcW w:w="795" w:type="pct"/>
            <w:vAlign w:val="center"/>
          </w:tcPr>
          <w:p w:rsidR="008768CC" w:rsidRDefault="008768CC" w:rsidP="008768CC">
            <w:pPr>
              <w:widowControl w:val="0"/>
              <w:tabs>
                <w:tab w:val="right" w:pos="8306"/>
              </w:tabs>
              <w:spacing w:line="500" w:lineRule="exact"/>
              <w:ind w:rightChars="107" w:right="342"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1659</w:t>
            </w:r>
          </w:p>
        </w:tc>
      </w:tr>
      <w:tr w:rsidR="008768CC" w:rsidTr="00293A0E">
        <w:trPr>
          <w:jc w:val="center"/>
        </w:trPr>
        <w:tc>
          <w:tcPr>
            <w:tcW w:w="403"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2255" w:type="pct"/>
            <w:vAlign w:val="center"/>
          </w:tcPr>
          <w:p w:rsidR="008768CC" w:rsidRDefault="008768CC" w:rsidP="00293A0E">
            <w:pPr>
              <w:widowControl w:val="0"/>
              <w:tabs>
                <w:tab w:val="right" w:pos="8306"/>
              </w:tabs>
              <w:spacing w:line="5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广东雷州农村商业银行股份有限公司</w:t>
            </w:r>
          </w:p>
        </w:tc>
        <w:tc>
          <w:tcPr>
            <w:tcW w:w="846" w:type="pct"/>
            <w:vAlign w:val="center"/>
          </w:tcPr>
          <w:p w:rsidR="008768CC" w:rsidRDefault="008768CC" w:rsidP="008768CC">
            <w:pPr>
              <w:widowControl w:val="0"/>
              <w:tabs>
                <w:tab w:val="right" w:pos="8306"/>
              </w:tabs>
              <w:spacing w:line="500" w:lineRule="exact"/>
              <w:ind w:rightChars="128" w:right="410"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5665</w:t>
            </w:r>
          </w:p>
        </w:tc>
        <w:tc>
          <w:tcPr>
            <w:tcW w:w="699" w:type="pct"/>
            <w:vAlign w:val="center"/>
          </w:tcPr>
          <w:p w:rsidR="008768CC" w:rsidRDefault="008768CC" w:rsidP="008768CC">
            <w:pPr>
              <w:widowControl w:val="0"/>
              <w:tabs>
                <w:tab w:val="right" w:pos="8306"/>
              </w:tabs>
              <w:spacing w:line="500" w:lineRule="exact"/>
              <w:ind w:rightChars="66" w:right="211"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11000</w:t>
            </w:r>
          </w:p>
        </w:tc>
        <w:tc>
          <w:tcPr>
            <w:tcW w:w="795" w:type="pct"/>
            <w:vAlign w:val="center"/>
          </w:tcPr>
          <w:p w:rsidR="008768CC" w:rsidRDefault="008768CC" w:rsidP="008768CC">
            <w:pPr>
              <w:widowControl w:val="0"/>
              <w:tabs>
                <w:tab w:val="right" w:pos="8306"/>
              </w:tabs>
              <w:spacing w:line="500" w:lineRule="exact"/>
              <w:ind w:rightChars="107" w:right="342"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9.73</w:t>
            </w:r>
          </w:p>
        </w:tc>
      </w:tr>
    </w:tbl>
    <w:p w:rsidR="008768CC" w:rsidRDefault="008768CC" w:rsidP="008768CC">
      <w:pPr>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sz w:val="24"/>
          <w:szCs w:val="24"/>
        </w:rPr>
        <w:br w:type="page"/>
      </w:r>
      <w:r>
        <w:rPr>
          <w:rFonts w:asciiTheme="minorEastAsia" w:eastAsiaTheme="minorEastAsia" w:hAnsiTheme="minorEastAsia"/>
          <w:b/>
          <w:sz w:val="24"/>
          <w:szCs w:val="24"/>
        </w:rPr>
        <w:lastRenderedPageBreak/>
        <w:t>14.监事会报告</w:t>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b/>
          <w:sz w:val="24"/>
          <w:szCs w:val="24"/>
        </w:rPr>
        <w:t>14.1监事会会议情况</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监事会共召开8次会议，审议了138项提案并形成了相关决议，听取了55项专项报告和监管通报等事项。会议议题涵盖了监事会自身建设、履职监督、财务运营、经营决策、内部控制、风险管理、关联交易、薪酬管理等方面，通过审议、听取重要事项，切实履行监督职能。各次会议召开情况具体如下：</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1.2023年2月7日，召开信宜农商银行第一届监事会第四十五次会议。会议审议了4个提案，并形成会议决议。通报了8个事项。</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2.2023年4月7日，召开信宜农商银行第一届监事会第四十六次会议。会议审议了52个提案，并形成会议决议。通报了2个事项。</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3.2023年4月24日，召开信宜农商银行第一届监事会临时会议（第四十七次会议）。会议审议了11个提案，并形成会议决议。通报了2个事项。</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4.2023年4月27日，召开信宜农商银行第二届监事会第一次会议。会议审议了3个提案，并形成会议决议。通报了1个事项。</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5.2023年6月15日，召开信宜农商银行第二届监事会第二次会议（临时会议）。会议审议了15个提案，并形成会议决议。通报了13个事项。</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6.2023年9月28日，召开信宜农商银行第二届监事会第三次会议。会议审议了15个提案，并形成会议决议。通报了12个事项。</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7.2023年11月14日，召开信宜农商银行第二届监事会第四次会议。会议审议了12项提案，并形成会议决议。通报了7个事项。</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8.2023年12月27日，召开信宜农商银行第二届监事会第五次会议（临时会议）。会议审议了26个提案，并形成会议决议。通报了10个事项。</w:t>
      </w:r>
    </w:p>
    <w:p w:rsidR="008768CC" w:rsidRDefault="008768CC" w:rsidP="008768CC">
      <w:pPr>
        <w:spacing w:afterLines="100" w:after="312"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报告期内，各位监事出席会议情况见下表列示:</w:t>
      </w:r>
    </w:p>
    <w:p w:rsidR="008768CC" w:rsidRDefault="008768CC" w:rsidP="008768CC">
      <w:pPr>
        <w:spacing w:afterLines="100" w:after="312" w:line="500" w:lineRule="exact"/>
        <w:ind w:firstLineChars="0" w:firstLine="0"/>
        <w:jc w:val="left"/>
        <w:rPr>
          <w:rFonts w:asciiTheme="minorEastAsia" w:eastAsiaTheme="minorEastAsia" w:hAnsiTheme="minorEastAsia"/>
          <w:sz w:val="24"/>
          <w:szCs w:val="24"/>
        </w:rPr>
      </w:pPr>
    </w:p>
    <w:p w:rsidR="008768CC" w:rsidRDefault="008768CC" w:rsidP="008768CC">
      <w:pPr>
        <w:spacing w:afterLines="100" w:after="312" w:line="500" w:lineRule="exact"/>
        <w:ind w:firstLineChars="0" w:firstLine="0"/>
        <w:jc w:val="left"/>
        <w:rPr>
          <w:rFonts w:asciiTheme="minorEastAsia" w:eastAsiaTheme="minorEastAsia" w:hAnsiTheme="minorEastAsia" w:hint="eastAsia"/>
          <w:sz w:val="24"/>
          <w:szCs w:val="24"/>
        </w:rPr>
      </w:pPr>
    </w:p>
    <w:p w:rsidR="008768CC" w:rsidRDefault="008768CC" w:rsidP="008768CC">
      <w:pPr>
        <w:spacing w:afterLines="100" w:after="312" w:line="500" w:lineRule="exact"/>
        <w:ind w:firstLineChars="0" w:firstLine="0"/>
        <w:jc w:val="left"/>
        <w:rPr>
          <w:rFonts w:asciiTheme="minorEastAsia" w:eastAsiaTheme="minorEastAsia" w:hAnsiTheme="minorEastAsia"/>
          <w:sz w:val="24"/>
          <w:szCs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2817"/>
        <w:gridCol w:w="1617"/>
        <w:gridCol w:w="1946"/>
      </w:tblGrid>
      <w:tr w:rsidR="008768CC" w:rsidTr="00293A0E">
        <w:trPr>
          <w:jc w:val="center"/>
        </w:trPr>
        <w:tc>
          <w:tcPr>
            <w:tcW w:w="1255"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b/>
                <w:sz w:val="24"/>
                <w:szCs w:val="24"/>
              </w:rPr>
            </w:pPr>
            <w:r>
              <w:rPr>
                <w:rFonts w:asciiTheme="minorEastAsia" w:eastAsiaTheme="minorEastAsia" w:hAnsiTheme="minorEastAsia" w:cstheme="minorBidi" w:hint="eastAsia"/>
                <w:b/>
                <w:sz w:val="24"/>
                <w:szCs w:val="24"/>
              </w:rPr>
              <w:lastRenderedPageBreak/>
              <w:t>监事会成员</w:t>
            </w:r>
          </w:p>
        </w:tc>
        <w:tc>
          <w:tcPr>
            <w:tcW w:w="1653"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b/>
                <w:sz w:val="24"/>
                <w:szCs w:val="24"/>
              </w:rPr>
            </w:pPr>
            <w:r>
              <w:rPr>
                <w:rFonts w:asciiTheme="minorEastAsia" w:eastAsiaTheme="minorEastAsia" w:hAnsiTheme="minorEastAsia" w:cstheme="minorBidi" w:hint="eastAsia"/>
                <w:b/>
                <w:sz w:val="24"/>
                <w:szCs w:val="24"/>
              </w:rPr>
              <w:t>出席（含委托出席）次数</w:t>
            </w:r>
            <w:r>
              <w:rPr>
                <w:rFonts w:asciiTheme="minorEastAsia" w:eastAsiaTheme="minorEastAsia" w:hAnsiTheme="minorEastAsia" w:cstheme="minorBidi"/>
                <w:b/>
                <w:sz w:val="24"/>
                <w:szCs w:val="24"/>
              </w:rPr>
              <w:t>/应出席次数</w:t>
            </w:r>
          </w:p>
        </w:tc>
        <w:tc>
          <w:tcPr>
            <w:tcW w:w="948"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b/>
                <w:sz w:val="24"/>
                <w:szCs w:val="24"/>
              </w:rPr>
            </w:pPr>
            <w:r>
              <w:rPr>
                <w:rFonts w:asciiTheme="minorEastAsia" w:eastAsiaTheme="minorEastAsia" w:hAnsiTheme="minorEastAsia" w:cstheme="minorBidi" w:hint="eastAsia"/>
                <w:b/>
                <w:sz w:val="24"/>
                <w:szCs w:val="24"/>
              </w:rPr>
              <w:t>出席率</w:t>
            </w:r>
          </w:p>
        </w:tc>
        <w:tc>
          <w:tcPr>
            <w:tcW w:w="1141" w:type="pct"/>
            <w:shd w:val="clear" w:color="auto" w:fill="auto"/>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b/>
                <w:sz w:val="24"/>
                <w:szCs w:val="24"/>
              </w:rPr>
            </w:pPr>
            <w:r>
              <w:rPr>
                <w:rFonts w:asciiTheme="minorEastAsia" w:eastAsiaTheme="minorEastAsia" w:hAnsiTheme="minorEastAsia" w:cstheme="minorBidi" w:hint="eastAsia"/>
                <w:b/>
                <w:sz w:val="24"/>
                <w:szCs w:val="24"/>
              </w:rPr>
              <w:t>备注</w:t>
            </w:r>
          </w:p>
        </w:tc>
      </w:tr>
      <w:tr w:rsidR="008768CC" w:rsidTr="00293A0E">
        <w:trPr>
          <w:trHeight w:val="397"/>
          <w:jc w:val="center"/>
        </w:trPr>
        <w:tc>
          <w:tcPr>
            <w:tcW w:w="1255"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邢绮君</w:t>
            </w:r>
          </w:p>
        </w:tc>
        <w:tc>
          <w:tcPr>
            <w:tcW w:w="1653"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7</w:t>
            </w:r>
            <w:r>
              <w:rPr>
                <w:rFonts w:asciiTheme="minorEastAsia" w:eastAsiaTheme="minorEastAsia" w:hAnsiTheme="minorEastAsia" w:cstheme="minorBidi"/>
                <w:sz w:val="24"/>
                <w:szCs w:val="24"/>
              </w:rPr>
              <w:t>/</w:t>
            </w:r>
            <w:r>
              <w:rPr>
                <w:rFonts w:asciiTheme="minorEastAsia" w:eastAsiaTheme="minorEastAsia" w:hAnsiTheme="minorEastAsia" w:cstheme="minorBidi" w:hint="eastAsia"/>
                <w:sz w:val="24"/>
                <w:szCs w:val="24"/>
              </w:rPr>
              <w:t>7</w:t>
            </w:r>
          </w:p>
        </w:tc>
        <w:tc>
          <w:tcPr>
            <w:tcW w:w="948"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100%</w:t>
            </w:r>
          </w:p>
        </w:tc>
        <w:tc>
          <w:tcPr>
            <w:tcW w:w="1141" w:type="pct"/>
            <w:shd w:val="clear" w:color="auto" w:fill="auto"/>
          </w:tcPr>
          <w:p w:rsidR="008768CC" w:rsidRDefault="008768CC" w:rsidP="00293A0E">
            <w:pPr>
              <w:widowControl w:val="0"/>
              <w:spacing w:line="480" w:lineRule="exact"/>
              <w:ind w:firstLineChars="0" w:firstLine="0"/>
              <w:jc w:val="left"/>
              <w:rPr>
                <w:rFonts w:asciiTheme="minorEastAsia" w:eastAsiaTheme="minorEastAsia" w:hAnsiTheme="minorEastAsia" w:cstheme="minorBidi"/>
                <w:sz w:val="24"/>
                <w:szCs w:val="24"/>
              </w:rPr>
            </w:pPr>
          </w:p>
        </w:tc>
      </w:tr>
      <w:tr w:rsidR="008768CC" w:rsidTr="00293A0E">
        <w:trPr>
          <w:trHeight w:val="397"/>
          <w:jc w:val="center"/>
        </w:trPr>
        <w:tc>
          <w:tcPr>
            <w:tcW w:w="1255"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徐娟</w:t>
            </w:r>
          </w:p>
        </w:tc>
        <w:tc>
          <w:tcPr>
            <w:tcW w:w="1653"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3</w:t>
            </w:r>
            <w:r>
              <w:rPr>
                <w:rFonts w:asciiTheme="minorEastAsia" w:eastAsiaTheme="minorEastAsia" w:hAnsiTheme="minorEastAsia" w:cstheme="minorBidi"/>
                <w:sz w:val="24"/>
                <w:szCs w:val="24"/>
              </w:rPr>
              <w:t>/</w:t>
            </w:r>
            <w:r>
              <w:rPr>
                <w:rFonts w:asciiTheme="minorEastAsia" w:eastAsiaTheme="minorEastAsia" w:hAnsiTheme="minorEastAsia" w:cstheme="minorBidi" w:hint="eastAsia"/>
                <w:sz w:val="24"/>
                <w:szCs w:val="24"/>
              </w:rPr>
              <w:t>3</w:t>
            </w:r>
          </w:p>
        </w:tc>
        <w:tc>
          <w:tcPr>
            <w:tcW w:w="948"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100%</w:t>
            </w:r>
          </w:p>
        </w:tc>
        <w:tc>
          <w:tcPr>
            <w:tcW w:w="1141" w:type="pct"/>
            <w:shd w:val="clear" w:color="auto" w:fill="auto"/>
          </w:tcPr>
          <w:p w:rsidR="008768CC" w:rsidRDefault="008768CC" w:rsidP="00293A0E">
            <w:pPr>
              <w:widowControl w:val="0"/>
              <w:spacing w:line="480" w:lineRule="exact"/>
              <w:ind w:firstLineChars="0" w:firstLine="0"/>
              <w:jc w:val="left"/>
              <w:rPr>
                <w:rFonts w:asciiTheme="minorEastAsia" w:eastAsiaTheme="minorEastAsia" w:hAnsiTheme="minorEastAsia" w:cstheme="minorBidi"/>
                <w:sz w:val="24"/>
                <w:szCs w:val="24"/>
              </w:rPr>
            </w:pPr>
          </w:p>
        </w:tc>
      </w:tr>
      <w:tr w:rsidR="008768CC" w:rsidTr="00293A0E">
        <w:trPr>
          <w:trHeight w:val="397"/>
          <w:jc w:val="center"/>
        </w:trPr>
        <w:tc>
          <w:tcPr>
            <w:tcW w:w="1255"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阮覃伟</w:t>
            </w:r>
          </w:p>
        </w:tc>
        <w:tc>
          <w:tcPr>
            <w:tcW w:w="1653"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3</w:t>
            </w:r>
            <w:r>
              <w:rPr>
                <w:rFonts w:asciiTheme="minorEastAsia" w:eastAsiaTheme="minorEastAsia" w:hAnsiTheme="minorEastAsia" w:cstheme="minorBidi"/>
                <w:sz w:val="24"/>
                <w:szCs w:val="24"/>
              </w:rPr>
              <w:t>/</w:t>
            </w:r>
            <w:r>
              <w:rPr>
                <w:rFonts w:asciiTheme="minorEastAsia" w:eastAsiaTheme="minorEastAsia" w:hAnsiTheme="minorEastAsia" w:cstheme="minorBidi" w:hint="eastAsia"/>
                <w:sz w:val="24"/>
                <w:szCs w:val="24"/>
              </w:rPr>
              <w:t>3</w:t>
            </w:r>
          </w:p>
        </w:tc>
        <w:tc>
          <w:tcPr>
            <w:tcW w:w="948"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100%</w:t>
            </w:r>
          </w:p>
        </w:tc>
        <w:tc>
          <w:tcPr>
            <w:tcW w:w="1141" w:type="pct"/>
            <w:shd w:val="clear" w:color="auto" w:fill="auto"/>
          </w:tcPr>
          <w:p w:rsidR="008768CC" w:rsidRDefault="008768CC" w:rsidP="00293A0E">
            <w:pPr>
              <w:widowControl w:val="0"/>
              <w:spacing w:line="480" w:lineRule="exact"/>
              <w:ind w:firstLineChars="0" w:firstLine="0"/>
              <w:jc w:val="left"/>
              <w:rPr>
                <w:rFonts w:asciiTheme="minorEastAsia" w:eastAsiaTheme="minorEastAsia" w:hAnsiTheme="minorEastAsia" w:cstheme="minorBidi"/>
                <w:sz w:val="24"/>
                <w:szCs w:val="24"/>
              </w:rPr>
            </w:pPr>
          </w:p>
        </w:tc>
      </w:tr>
      <w:tr w:rsidR="008768CC" w:rsidTr="00293A0E">
        <w:trPr>
          <w:trHeight w:val="397"/>
          <w:jc w:val="center"/>
        </w:trPr>
        <w:tc>
          <w:tcPr>
            <w:tcW w:w="1255"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李金唐</w:t>
            </w:r>
          </w:p>
        </w:tc>
        <w:tc>
          <w:tcPr>
            <w:tcW w:w="1653"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7</w:t>
            </w:r>
            <w:r>
              <w:rPr>
                <w:rFonts w:asciiTheme="minorEastAsia" w:eastAsiaTheme="minorEastAsia" w:hAnsiTheme="minorEastAsia" w:cstheme="minorBidi"/>
                <w:sz w:val="24"/>
                <w:szCs w:val="24"/>
              </w:rPr>
              <w:t>/</w:t>
            </w:r>
            <w:r>
              <w:rPr>
                <w:rFonts w:asciiTheme="minorEastAsia" w:eastAsiaTheme="minorEastAsia" w:hAnsiTheme="minorEastAsia" w:cstheme="minorBidi" w:hint="eastAsia"/>
                <w:sz w:val="24"/>
                <w:szCs w:val="24"/>
              </w:rPr>
              <w:t>7</w:t>
            </w:r>
          </w:p>
        </w:tc>
        <w:tc>
          <w:tcPr>
            <w:tcW w:w="948"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100%</w:t>
            </w:r>
          </w:p>
        </w:tc>
        <w:tc>
          <w:tcPr>
            <w:tcW w:w="1141" w:type="pct"/>
            <w:shd w:val="clear" w:color="auto" w:fill="auto"/>
          </w:tcPr>
          <w:p w:rsidR="008768CC" w:rsidRDefault="008768CC" w:rsidP="00293A0E">
            <w:pPr>
              <w:widowControl w:val="0"/>
              <w:spacing w:line="480" w:lineRule="exact"/>
              <w:ind w:firstLineChars="0" w:firstLine="0"/>
              <w:jc w:val="left"/>
              <w:rPr>
                <w:rFonts w:asciiTheme="minorEastAsia" w:eastAsiaTheme="minorEastAsia" w:hAnsiTheme="minorEastAsia" w:cstheme="minorBidi"/>
                <w:sz w:val="24"/>
                <w:szCs w:val="24"/>
              </w:rPr>
            </w:pPr>
          </w:p>
        </w:tc>
      </w:tr>
      <w:tr w:rsidR="008768CC" w:rsidTr="00293A0E">
        <w:trPr>
          <w:trHeight w:val="397"/>
          <w:jc w:val="center"/>
        </w:trPr>
        <w:tc>
          <w:tcPr>
            <w:tcW w:w="1255"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梁庭云</w:t>
            </w:r>
          </w:p>
        </w:tc>
        <w:tc>
          <w:tcPr>
            <w:tcW w:w="1653"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3</w:t>
            </w:r>
            <w:r>
              <w:rPr>
                <w:rFonts w:asciiTheme="minorEastAsia" w:eastAsiaTheme="minorEastAsia" w:hAnsiTheme="minorEastAsia" w:cstheme="minorBidi"/>
                <w:sz w:val="24"/>
                <w:szCs w:val="24"/>
              </w:rPr>
              <w:t>/</w:t>
            </w:r>
            <w:r>
              <w:rPr>
                <w:rFonts w:asciiTheme="minorEastAsia" w:eastAsiaTheme="minorEastAsia" w:hAnsiTheme="minorEastAsia" w:cstheme="minorBidi" w:hint="eastAsia"/>
                <w:sz w:val="24"/>
                <w:szCs w:val="24"/>
              </w:rPr>
              <w:t>3</w:t>
            </w:r>
          </w:p>
        </w:tc>
        <w:tc>
          <w:tcPr>
            <w:tcW w:w="948"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100%</w:t>
            </w:r>
          </w:p>
        </w:tc>
        <w:tc>
          <w:tcPr>
            <w:tcW w:w="1141" w:type="pct"/>
            <w:shd w:val="clear" w:color="auto" w:fill="auto"/>
          </w:tcPr>
          <w:p w:rsidR="008768CC" w:rsidRDefault="008768CC" w:rsidP="00293A0E">
            <w:pPr>
              <w:widowControl w:val="0"/>
              <w:spacing w:line="480" w:lineRule="exact"/>
              <w:ind w:firstLineChars="0" w:firstLine="0"/>
              <w:jc w:val="left"/>
              <w:rPr>
                <w:rFonts w:asciiTheme="minorEastAsia" w:eastAsiaTheme="minorEastAsia" w:hAnsiTheme="minorEastAsia" w:cstheme="minorBidi"/>
                <w:sz w:val="24"/>
                <w:szCs w:val="24"/>
              </w:rPr>
            </w:pPr>
          </w:p>
        </w:tc>
      </w:tr>
      <w:tr w:rsidR="008768CC" w:rsidTr="00293A0E">
        <w:trPr>
          <w:trHeight w:val="397"/>
          <w:jc w:val="center"/>
        </w:trPr>
        <w:tc>
          <w:tcPr>
            <w:tcW w:w="1255"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宁波</w:t>
            </w:r>
          </w:p>
        </w:tc>
        <w:tc>
          <w:tcPr>
            <w:tcW w:w="1653"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5</w:t>
            </w:r>
            <w:r>
              <w:rPr>
                <w:rFonts w:asciiTheme="minorEastAsia" w:eastAsiaTheme="minorEastAsia" w:hAnsiTheme="minorEastAsia" w:cstheme="minorBidi"/>
                <w:sz w:val="24"/>
                <w:szCs w:val="24"/>
              </w:rPr>
              <w:t>/</w:t>
            </w:r>
            <w:r>
              <w:rPr>
                <w:rFonts w:asciiTheme="minorEastAsia" w:eastAsiaTheme="minorEastAsia" w:hAnsiTheme="minorEastAsia" w:cstheme="minorBidi" w:hint="eastAsia"/>
                <w:sz w:val="24"/>
                <w:szCs w:val="24"/>
              </w:rPr>
              <w:t>5</w:t>
            </w:r>
          </w:p>
        </w:tc>
        <w:tc>
          <w:tcPr>
            <w:tcW w:w="948"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100%</w:t>
            </w:r>
          </w:p>
        </w:tc>
        <w:tc>
          <w:tcPr>
            <w:tcW w:w="1141" w:type="pct"/>
            <w:shd w:val="clear" w:color="auto" w:fill="auto"/>
          </w:tcPr>
          <w:p w:rsidR="008768CC" w:rsidRDefault="008768CC" w:rsidP="00293A0E">
            <w:pPr>
              <w:widowControl w:val="0"/>
              <w:spacing w:line="480" w:lineRule="exact"/>
              <w:ind w:firstLineChars="0" w:firstLine="0"/>
              <w:jc w:val="left"/>
              <w:rPr>
                <w:rFonts w:asciiTheme="minorEastAsia" w:eastAsiaTheme="minorEastAsia" w:hAnsiTheme="minorEastAsia" w:cstheme="minorBidi"/>
                <w:sz w:val="24"/>
                <w:szCs w:val="24"/>
              </w:rPr>
            </w:pPr>
          </w:p>
        </w:tc>
      </w:tr>
      <w:tr w:rsidR="008768CC" w:rsidTr="00293A0E">
        <w:trPr>
          <w:trHeight w:val="397"/>
          <w:jc w:val="center"/>
        </w:trPr>
        <w:tc>
          <w:tcPr>
            <w:tcW w:w="1255"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江伟韬</w:t>
            </w:r>
          </w:p>
        </w:tc>
        <w:tc>
          <w:tcPr>
            <w:tcW w:w="1653"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5</w:t>
            </w:r>
            <w:r>
              <w:rPr>
                <w:rFonts w:asciiTheme="minorEastAsia" w:eastAsiaTheme="minorEastAsia" w:hAnsiTheme="minorEastAsia" w:cstheme="minorBidi"/>
                <w:sz w:val="24"/>
                <w:szCs w:val="24"/>
              </w:rPr>
              <w:t>/</w:t>
            </w:r>
            <w:r>
              <w:rPr>
                <w:rFonts w:asciiTheme="minorEastAsia" w:eastAsiaTheme="minorEastAsia" w:hAnsiTheme="minorEastAsia" w:cstheme="minorBidi" w:hint="eastAsia"/>
                <w:sz w:val="24"/>
                <w:szCs w:val="24"/>
              </w:rPr>
              <w:t>5</w:t>
            </w:r>
          </w:p>
        </w:tc>
        <w:tc>
          <w:tcPr>
            <w:tcW w:w="948"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100%</w:t>
            </w:r>
          </w:p>
        </w:tc>
        <w:tc>
          <w:tcPr>
            <w:tcW w:w="1141" w:type="pct"/>
            <w:shd w:val="clear" w:color="auto" w:fill="auto"/>
          </w:tcPr>
          <w:p w:rsidR="008768CC" w:rsidRDefault="008768CC" w:rsidP="00293A0E">
            <w:pPr>
              <w:widowControl w:val="0"/>
              <w:spacing w:line="480" w:lineRule="exact"/>
              <w:ind w:firstLineChars="0" w:firstLine="0"/>
              <w:jc w:val="left"/>
              <w:rPr>
                <w:rFonts w:asciiTheme="minorEastAsia" w:eastAsiaTheme="minorEastAsia" w:hAnsiTheme="minorEastAsia" w:cstheme="minorBidi"/>
                <w:sz w:val="24"/>
                <w:szCs w:val="24"/>
              </w:rPr>
            </w:pPr>
          </w:p>
        </w:tc>
      </w:tr>
      <w:tr w:rsidR="008768CC" w:rsidTr="00293A0E">
        <w:trPr>
          <w:trHeight w:val="397"/>
          <w:jc w:val="center"/>
        </w:trPr>
        <w:tc>
          <w:tcPr>
            <w:tcW w:w="1255"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苏湄</w:t>
            </w:r>
          </w:p>
        </w:tc>
        <w:tc>
          <w:tcPr>
            <w:tcW w:w="1653"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5</w:t>
            </w:r>
            <w:r>
              <w:rPr>
                <w:rFonts w:asciiTheme="minorEastAsia" w:eastAsiaTheme="minorEastAsia" w:hAnsiTheme="minorEastAsia" w:cstheme="minorBidi"/>
                <w:sz w:val="24"/>
                <w:szCs w:val="24"/>
              </w:rPr>
              <w:t>/</w:t>
            </w:r>
            <w:r>
              <w:rPr>
                <w:rFonts w:asciiTheme="minorEastAsia" w:eastAsiaTheme="minorEastAsia" w:hAnsiTheme="minorEastAsia" w:cstheme="minorBidi" w:hint="eastAsia"/>
                <w:sz w:val="24"/>
                <w:szCs w:val="24"/>
              </w:rPr>
              <w:t>5</w:t>
            </w:r>
          </w:p>
        </w:tc>
        <w:tc>
          <w:tcPr>
            <w:tcW w:w="948"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100%</w:t>
            </w:r>
          </w:p>
        </w:tc>
        <w:tc>
          <w:tcPr>
            <w:tcW w:w="1141" w:type="pct"/>
            <w:shd w:val="clear" w:color="auto" w:fill="auto"/>
          </w:tcPr>
          <w:p w:rsidR="008768CC" w:rsidRDefault="008768CC" w:rsidP="00293A0E">
            <w:pPr>
              <w:widowControl w:val="0"/>
              <w:spacing w:line="480" w:lineRule="exact"/>
              <w:ind w:firstLineChars="0" w:firstLine="0"/>
              <w:jc w:val="left"/>
              <w:rPr>
                <w:rFonts w:asciiTheme="minorEastAsia" w:eastAsiaTheme="minorEastAsia" w:hAnsiTheme="minorEastAsia" w:cstheme="minorBidi"/>
                <w:sz w:val="24"/>
                <w:szCs w:val="24"/>
              </w:rPr>
            </w:pPr>
          </w:p>
        </w:tc>
      </w:tr>
      <w:tr w:rsidR="008768CC" w:rsidTr="00293A0E">
        <w:trPr>
          <w:trHeight w:val="397"/>
          <w:jc w:val="center"/>
        </w:trPr>
        <w:tc>
          <w:tcPr>
            <w:tcW w:w="1255"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伍书漠</w:t>
            </w:r>
          </w:p>
        </w:tc>
        <w:tc>
          <w:tcPr>
            <w:tcW w:w="1653"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1</w:t>
            </w:r>
            <w:r>
              <w:rPr>
                <w:rFonts w:asciiTheme="minorEastAsia" w:eastAsiaTheme="minorEastAsia" w:hAnsiTheme="minorEastAsia" w:cstheme="minorBidi"/>
                <w:sz w:val="24"/>
                <w:szCs w:val="24"/>
              </w:rPr>
              <w:t>/</w:t>
            </w:r>
            <w:r>
              <w:rPr>
                <w:rFonts w:asciiTheme="minorEastAsia" w:eastAsiaTheme="minorEastAsia" w:hAnsiTheme="minorEastAsia" w:cstheme="minorBidi" w:hint="eastAsia"/>
                <w:sz w:val="24"/>
                <w:szCs w:val="24"/>
              </w:rPr>
              <w:t>1</w:t>
            </w:r>
          </w:p>
        </w:tc>
        <w:tc>
          <w:tcPr>
            <w:tcW w:w="948" w:type="pct"/>
            <w:vAlign w:val="center"/>
          </w:tcPr>
          <w:p w:rsidR="008768CC" w:rsidRDefault="008768CC" w:rsidP="00293A0E">
            <w:pPr>
              <w:widowControl w:val="0"/>
              <w:spacing w:line="480" w:lineRule="exact"/>
              <w:ind w:firstLineChars="0" w:firstLine="0"/>
              <w:jc w:val="center"/>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100%</w:t>
            </w:r>
          </w:p>
        </w:tc>
        <w:tc>
          <w:tcPr>
            <w:tcW w:w="1141" w:type="pct"/>
            <w:shd w:val="clear" w:color="auto" w:fill="auto"/>
          </w:tcPr>
          <w:p w:rsidR="008768CC" w:rsidRDefault="008768CC" w:rsidP="00293A0E">
            <w:pPr>
              <w:widowControl w:val="0"/>
              <w:spacing w:line="480" w:lineRule="exact"/>
              <w:ind w:firstLineChars="0" w:firstLine="0"/>
              <w:jc w:val="left"/>
              <w:rPr>
                <w:rFonts w:asciiTheme="minorEastAsia" w:eastAsiaTheme="minorEastAsia" w:hAnsiTheme="minorEastAsia" w:cstheme="minorBidi"/>
                <w:sz w:val="24"/>
                <w:szCs w:val="24"/>
              </w:rPr>
            </w:pPr>
          </w:p>
        </w:tc>
      </w:tr>
    </w:tbl>
    <w:p w:rsidR="008768CC" w:rsidRDefault="008768CC" w:rsidP="008768CC">
      <w:pPr>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14.2 外部监事履职情况</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外部监事勤勉尽职，积极参加监事会及其专门委员会会议，充分发挥专业技能和职业特长，正确行使表决权。本行外部监事为本行工作时间符合相关监管规定，为监事会履行监督职责发挥了积极作用。未发现本行外部监事存在违反法律法规、本行章程或其它损害本行股东利益的行为。</w:t>
      </w:r>
    </w:p>
    <w:p w:rsidR="008768CC" w:rsidRDefault="008768CC" w:rsidP="008768CC">
      <w:pPr>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14.3监事会工作情况</w:t>
      </w:r>
    </w:p>
    <w:p w:rsidR="008768CC" w:rsidRDefault="008768CC" w:rsidP="008768CC">
      <w:pPr>
        <w:spacing w:line="5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1.加强自身建设。</w:t>
      </w:r>
      <w:r>
        <w:rPr>
          <w:rFonts w:asciiTheme="minorEastAsia" w:eastAsiaTheme="minorEastAsia" w:hAnsiTheme="minorEastAsia" w:cstheme="minorEastAsia" w:hint="eastAsia"/>
          <w:sz w:val="24"/>
          <w:szCs w:val="24"/>
        </w:rPr>
        <w:t>监事会适应新形势、新要求，不断强化自身建设，持续提升履职水平。</w:t>
      </w:r>
      <w:r>
        <w:rPr>
          <w:rFonts w:asciiTheme="minorEastAsia" w:eastAsiaTheme="minorEastAsia" w:hAnsiTheme="minorEastAsia" w:cstheme="minorEastAsia" w:hint="eastAsia"/>
          <w:b/>
          <w:bCs/>
          <w:sz w:val="24"/>
          <w:szCs w:val="24"/>
        </w:rPr>
        <w:t>一是</w:t>
      </w:r>
      <w:r>
        <w:rPr>
          <w:rFonts w:asciiTheme="minorEastAsia" w:eastAsiaTheme="minorEastAsia" w:hAnsiTheme="minorEastAsia" w:cstheme="minorEastAsia" w:hint="eastAsia"/>
          <w:sz w:val="24"/>
          <w:szCs w:val="24"/>
        </w:rPr>
        <w:t>提高政治站位。全面贯彻落实党的二十大精神，深入学</w:t>
      </w:r>
      <w:proofErr w:type="gramStart"/>
      <w:r>
        <w:rPr>
          <w:rFonts w:asciiTheme="minorEastAsia" w:eastAsiaTheme="minorEastAsia" w:hAnsiTheme="minorEastAsia" w:cstheme="minorEastAsia" w:hint="eastAsia"/>
          <w:sz w:val="24"/>
          <w:szCs w:val="24"/>
        </w:rPr>
        <w:t>习习近</w:t>
      </w:r>
      <w:proofErr w:type="gramEnd"/>
      <w:r>
        <w:rPr>
          <w:rFonts w:asciiTheme="minorEastAsia" w:eastAsiaTheme="minorEastAsia" w:hAnsiTheme="minorEastAsia" w:cstheme="minorEastAsia" w:hint="eastAsia"/>
          <w:sz w:val="24"/>
          <w:szCs w:val="24"/>
        </w:rPr>
        <w:t>平总书记关于金融工作和党的建设等重要论述精神，坚持党的领导和公司治理相结合。</w:t>
      </w:r>
      <w:r>
        <w:rPr>
          <w:rFonts w:asciiTheme="minorEastAsia" w:eastAsiaTheme="minorEastAsia" w:hAnsiTheme="minorEastAsia" w:cstheme="minorEastAsia" w:hint="eastAsia"/>
          <w:b/>
          <w:bCs/>
          <w:sz w:val="24"/>
          <w:szCs w:val="24"/>
        </w:rPr>
        <w:t>二是</w:t>
      </w:r>
      <w:r>
        <w:rPr>
          <w:rFonts w:asciiTheme="minorEastAsia" w:eastAsiaTheme="minorEastAsia" w:hAnsiTheme="minorEastAsia" w:cstheme="minorEastAsia" w:hint="eastAsia"/>
          <w:sz w:val="24"/>
          <w:szCs w:val="24"/>
        </w:rPr>
        <w:t>做好监事会换届和监事选举工作。按照监管要求和公司治理程序，组织召开监事会、配合召开股东大会，完成监事会换届和外部监事任职到期选举更换工作。</w:t>
      </w:r>
      <w:r>
        <w:rPr>
          <w:rFonts w:asciiTheme="minorEastAsia" w:eastAsiaTheme="minorEastAsia" w:hAnsiTheme="minorEastAsia" w:cstheme="minorEastAsia" w:hint="eastAsia"/>
          <w:b/>
          <w:bCs/>
          <w:sz w:val="24"/>
          <w:szCs w:val="24"/>
        </w:rPr>
        <w:t>三是</w:t>
      </w:r>
      <w:r>
        <w:rPr>
          <w:rFonts w:asciiTheme="minorEastAsia" w:eastAsiaTheme="minorEastAsia" w:hAnsiTheme="minorEastAsia" w:cstheme="minorEastAsia" w:hint="eastAsia"/>
          <w:sz w:val="24"/>
          <w:szCs w:val="24"/>
        </w:rPr>
        <w:t>监事会举办监事履职培训班2期，参加本行董事履职培训班1期，组织参加省联社组织的</w:t>
      </w:r>
      <w:r>
        <w:rPr>
          <w:rFonts w:asciiTheme="minorEastAsia" w:eastAsiaTheme="minorEastAsia" w:hAnsiTheme="minorEastAsia" w:cstheme="minorEastAsia" w:hint="eastAsia"/>
          <w:bCs/>
          <w:kern w:val="24"/>
          <w:sz w:val="24"/>
          <w:szCs w:val="24"/>
        </w:rPr>
        <w:t>业务培训班2</w:t>
      </w:r>
      <w:r>
        <w:rPr>
          <w:rFonts w:asciiTheme="minorEastAsia" w:eastAsiaTheme="minorEastAsia" w:hAnsiTheme="minorEastAsia" w:cstheme="minorEastAsia" w:hint="eastAsia"/>
          <w:sz w:val="24"/>
          <w:szCs w:val="24"/>
        </w:rPr>
        <w:t>期，加强学习监管规定和银行业务知识、法律知识，增强实务操作水平，提升</w:t>
      </w:r>
      <w:proofErr w:type="gramStart"/>
      <w:r>
        <w:rPr>
          <w:rFonts w:asciiTheme="minorEastAsia" w:eastAsiaTheme="minorEastAsia" w:hAnsiTheme="minorEastAsia" w:cstheme="minorEastAsia" w:hint="eastAsia"/>
          <w:sz w:val="24"/>
          <w:szCs w:val="24"/>
        </w:rPr>
        <w:t>履</w:t>
      </w:r>
      <w:proofErr w:type="gramEnd"/>
      <w:r>
        <w:rPr>
          <w:rFonts w:asciiTheme="minorEastAsia" w:eastAsiaTheme="minorEastAsia" w:hAnsiTheme="minorEastAsia" w:cstheme="minorEastAsia" w:hint="eastAsia"/>
          <w:sz w:val="24"/>
          <w:szCs w:val="24"/>
        </w:rPr>
        <w:t>职能力。</w:t>
      </w:r>
      <w:r>
        <w:rPr>
          <w:rFonts w:asciiTheme="minorEastAsia" w:eastAsiaTheme="minorEastAsia" w:hAnsiTheme="minorEastAsia" w:cstheme="minorEastAsia" w:hint="eastAsia"/>
          <w:b/>
          <w:bCs/>
          <w:sz w:val="24"/>
          <w:szCs w:val="24"/>
        </w:rPr>
        <w:t>四是</w:t>
      </w:r>
      <w:r>
        <w:rPr>
          <w:rFonts w:asciiTheme="minorEastAsia" w:eastAsiaTheme="minorEastAsia" w:hAnsiTheme="minorEastAsia" w:cstheme="minorEastAsia" w:hint="eastAsia"/>
          <w:bCs/>
          <w:sz w:val="24"/>
          <w:szCs w:val="24"/>
        </w:rPr>
        <w:t>完善制度建设。</w:t>
      </w:r>
      <w:r>
        <w:rPr>
          <w:rFonts w:asciiTheme="minorEastAsia" w:eastAsiaTheme="minorEastAsia" w:hAnsiTheme="minorEastAsia" w:cstheme="minorEastAsia" w:hint="eastAsia"/>
          <w:sz w:val="24"/>
          <w:szCs w:val="24"/>
        </w:rPr>
        <w:t>根据公司治理工作要求，结合工作实际废止了不适用的制度1份，修订完善了履职评价等制度7份，制定了监事薪酬等制度2份，不断更新完善制度体系，为监事会有效运作提供制度保障。</w:t>
      </w:r>
      <w:r>
        <w:rPr>
          <w:rFonts w:asciiTheme="minorEastAsia" w:eastAsiaTheme="minorEastAsia" w:hAnsiTheme="minorEastAsia" w:cstheme="minorEastAsia" w:hint="eastAsia"/>
          <w:b/>
          <w:bCs/>
          <w:sz w:val="24"/>
          <w:szCs w:val="24"/>
        </w:rPr>
        <w:t>五是</w:t>
      </w:r>
      <w:r>
        <w:rPr>
          <w:rFonts w:asciiTheme="minorEastAsia" w:eastAsiaTheme="minorEastAsia" w:hAnsiTheme="minorEastAsia" w:cstheme="minorEastAsia" w:hint="eastAsia"/>
          <w:sz w:val="24"/>
          <w:szCs w:val="24"/>
        </w:rPr>
        <w:t>加强对监事会办公室的指导。督促做好日常监督检查，并对监事会发出</w:t>
      </w:r>
      <w:r>
        <w:rPr>
          <w:rFonts w:asciiTheme="minorEastAsia" w:eastAsiaTheme="minorEastAsia" w:hAnsiTheme="minorEastAsia" w:cstheme="minorEastAsia" w:hint="eastAsia"/>
          <w:sz w:val="24"/>
          <w:szCs w:val="24"/>
        </w:rPr>
        <w:lastRenderedPageBreak/>
        <w:t>的监督意见、风险提示、整改督办书等的跟踪和落实，研究探索创新监督方法方式，增强主动性和前瞻性，提升监督效果。</w:t>
      </w:r>
    </w:p>
    <w:p w:rsidR="008768CC" w:rsidRDefault="008768CC" w:rsidP="008768CC">
      <w:pPr>
        <w:spacing w:line="50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2.依规召开和列席会议。</w:t>
      </w:r>
      <w:r>
        <w:rPr>
          <w:rFonts w:asciiTheme="minorEastAsia" w:eastAsiaTheme="minorEastAsia" w:hAnsiTheme="minorEastAsia" w:cstheme="minorEastAsia" w:hint="eastAsia"/>
          <w:sz w:val="24"/>
          <w:szCs w:val="24"/>
        </w:rPr>
        <w:t>监事会加强对重大决策事项有效监督。</w:t>
      </w:r>
      <w:r>
        <w:rPr>
          <w:rFonts w:asciiTheme="minorEastAsia" w:eastAsiaTheme="minorEastAsia" w:hAnsiTheme="minorEastAsia" w:cstheme="minorEastAsia" w:hint="eastAsia"/>
          <w:b/>
          <w:bCs/>
          <w:sz w:val="24"/>
          <w:szCs w:val="24"/>
        </w:rPr>
        <w:t>一是</w:t>
      </w:r>
      <w:r>
        <w:rPr>
          <w:rFonts w:asciiTheme="minorEastAsia" w:eastAsiaTheme="minorEastAsia" w:hAnsiTheme="minorEastAsia" w:cstheme="minorEastAsia" w:hint="eastAsia"/>
          <w:sz w:val="24"/>
          <w:szCs w:val="24"/>
        </w:rPr>
        <w:t>召开监事会会议8次，审议提案138个，听取通报事项55个，对本行定期报告、财务决算报告、利润分配方案、发展战略规则等提案进行合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合法审议，并发表审议意见42条。</w:t>
      </w:r>
      <w:r>
        <w:rPr>
          <w:rFonts w:asciiTheme="minorEastAsia" w:eastAsiaTheme="minorEastAsia" w:hAnsiTheme="minorEastAsia" w:cstheme="minorEastAsia" w:hint="eastAsia"/>
          <w:b/>
          <w:bCs/>
          <w:sz w:val="24"/>
          <w:szCs w:val="24"/>
        </w:rPr>
        <w:t>二是</w:t>
      </w:r>
      <w:r>
        <w:rPr>
          <w:rFonts w:asciiTheme="minorEastAsia" w:eastAsiaTheme="minorEastAsia" w:hAnsiTheme="minorEastAsia" w:cstheme="minorEastAsia" w:hint="eastAsia"/>
          <w:sz w:val="24"/>
          <w:szCs w:val="24"/>
        </w:rPr>
        <w:t>召开提名委员会会议3次，审议提案16个，召开监督委员会会议3次，审议提案3个。</w:t>
      </w:r>
      <w:r>
        <w:rPr>
          <w:rFonts w:asciiTheme="minorEastAsia" w:eastAsiaTheme="minorEastAsia" w:hAnsiTheme="minorEastAsia" w:cstheme="minorEastAsia" w:hint="eastAsia"/>
          <w:b/>
          <w:bCs/>
          <w:sz w:val="24"/>
          <w:szCs w:val="24"/>
        </w:rPr>
        <w:t>三是</w:t>
      </w:r>
      <w:r>
        <w:rPr>
          <w:rFonts w:asciiTheme="minorEastAsia" w:eastAsiaTheme="minorEastAsia" w:hAnsiTheme="minorEastAsia" w:cstheme="minorEastAsia" w:hint="eastAsia"/>
          <w:sz w:val="24"/>
          <w:szCs w:val="24"/>
        </w:rPr>
        <w:t>牵头组织合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、纪委、审计等部门召开纪监审联席会议6次，了解各类业务风险，督促采取防控措施，加强联动监督，提升监督合力。</w:t>
      </w:r>
      <w:r>
        <w:rPr>
          <w:rFonts w:asciiTheme="minorEastAsia" w:eastAsiaTheme="minorEastAsia" w:hAnsiTheme="minorEastAsia" w:cstheme="minorEastAsia" w:hint="eastAsia"/>
          <w:b/>
          <w:bCs/>
          <w:sz w:val="24"/>
          <w:szCs w:val="24"/>
        </w:rPr>
        <w:t>四是</w:t>
      </w:r>
      <w:r>
        <w:rPr>
          <w:rFonts w:asciiTheme="minorEastAsia" w:eastAsiaTheme="minorEastAsia" w:hAnsiTheme="minorEastAsia" w:cstheme="minorEastAsia" w:hint="eastAsia"/>
          <w:sz w:val="24"/>
          <w:szCs w:val="24"/>
        </w:rPr>
        <w:t>列席董事会会议15次，列席董事会下设7个专门委员会会议46次，监督董事会及其专门委员会审议提案201个，听取事项通报34个。列席行长办公会议25次，监督行长办公会审议议案274个；列席高级管理层下设10个专门委员会会议149次，监督高级管理层各专门委员会审议决策事项431个。通过列席会议，对涉及全行经营管理、内控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、风险防范及发展战略等重大事项的研究决策过程以及各类提案的研究审议过程进行了监督，并发表监督意见683条，确保程序规范、决策合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五是</w:t>
      </w:r>
      <w:r>
        <w:rPr>
          <w:rFonts w:asciiTheme="minorEastAsia" w:eastAsiaTheme="minorEastAsia" w:hAnsiTheme="minorEastAsia" w:cstheme="minorEastAsia" w:hint="eastAsia"/>
          <w:sz w:val="24"/>
          <w:szCs w:val="24"/>
        </w:rPr>
        <w:t>监事会成员主动出席股东大会会议3次，对股东大会召开程序的合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性进行监督，监督会议表决程序的合法合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性，确保股东大会表决公开、公平、公正。</w:t>
      </w:r>
    </w:p>
    <w:p w:rsidR="008768CC" w:rsidRDefault="008768CC" w:rsidP="008768CC">
      <w:pPr>
        <w:shd w:val="clear" w:color="auto" w:fill="FFFFFF"/>
        <w:adjustRightInd w:val="0"/>
        <w:snapToGrid w:val="0"/>
        <w:spacing w:line="500" w:lineRule="exact"/>
        <w:ind w:firstLineChars="0" w:firstLine="0"/>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3.优化履职监督。</w:t>
      </w:r>
      <w:r>
        <w:rPr>
          <w:rFonts w:asciiTheme="minorEastAsia" w:eastAsiaTheme="minorEastAsia" w:hAnsiTheme="minorEastAsia" w:cstheme="minorEastAsia" w:hint="eastAsia"/>
          <w:bCs/>
          <w:sz w:val="24"/>
          <w:szCs w:val="24"/>
        </w:rPr>
        <w:t>监事会持续优化对董事会和高管层的履职监督。</w:t>
      </w:r>
      <w:r>
        <w:rPr>
          <w:rFonts w:asciiTheme="minorEastAsia" w:eastAsiaTheme="minorEastAsia" w:hAnsiTheme="minorEastAsia" w:cstheme="minorEastAsia" w:hint="eastAsia"/>
          <w:b/>
          <w:bCs/>
          <w:sz w:val="24"/>
          <w:szCs w:val="24"/>
        </w:rPr>
        <w:t>一是</w:t>
      </w:r>
      <w:r>
        <w:rPr>
          <w:rFonts w:asciiTheme="minorEastAsia" w:eastAsiaTheme="minorEastAsia" w:hAnsiTheme="minorEastAsia" w:cstheme="minorEastAsia" w:hint="eastAsia"/>
          <w:sz w:val="24"/>
          <w:szCs w:val="24"/>
        </w:rPr>
        <w:t>优化履职评价方案，提高履职评价的科学性，根据监管部门公司治理督导检查要求，修订完善了董事会、监事会和高级管理层及其成员履职评价办法，并根据不同类型董事、监事和高级管理层成员的特点，做出差异化规定，进一步完善公司治理机制。</w:t>
      </w:r>
      <w:r>
        <w:rPr>
          <w:rFonts w:asciiTheme="minorEastAsia" w:eastAsiaTheme="minorEastAsia" w:hAnsiTheme="minorEastAsia" w:cstheme="minorEastAsia" w:hint="eastAsia"/>
          <w:b/>
          <w:sz w:val="24"/>
          <w:szCs w:val="24"/>
        </w:rPr>
        <w:t>二是</w:t>
      </w:r>
      <w:r>
        <w:rPr>
          <w:rFonts w:asciiTheme="minorEastAsia" w:eastAsiaTheme="minorEastAsia" w:hAnsiTheme="minorEastAsia" w:cstheme="minorEastAsia" w:hint="eastAsia"/>
          <w:sz w:val="24"/>
          <w:szCs w:val="24"/>
        </w:rPr>
        <w:t>客观开展</w:t>
      </w:r>
      <w:proofErr w:type="gramStart"/>
      <w:r>
        <w:rPr>
          <w:rFonts w:asciiTheme="minorEastAsia" w:eastAsiaTheme="minorEastAsia" w:hAnsiTheme="minorEastAsia" w:cstheme="minorEastAsia" w:hint="eastAsia"/>
          <w:sz w:val="24"/>
          <w:szCs w:val="24"/>
        </w:rPr>
        <w:t>董监高年度</w:t>
      </w:r>
      <w:proofErr w:type="gramEnd"/>
      <w:r>
        <w:rPr>
          <w:rFonts w:asciiTheme="minorEastAsia" w:eastAsiaTheme="minorEastAsia" w:hAnsiTheme="minorEastAsia" w:cstheme="minorEastAsia" w:hint="eastAsia"/>
          <w:sz w:val="24"/>
          <w:szCs w:val="24"/>
        </w:rPr>
        <w:t>履职评价，监事会全面梳理履职评价工作，根据履职评价办法，注重与各方沟通协调，通过日常监督、沟通交流、调阅履职档案等多种方式获取履职信息，结合</w:t>
      </w:r>
      <w:proofErr w:type="gramStart"/>
      <w:r>
        <w:rPr>
          <w:rFonts w:asciiTheme="minorEastAsia" w:eastAsiaTheme="minorEastAsia" w:hAnsiTheme="minorEastAsia" w:cstheme="minorEastAsia" w:hint="eastAsia"/>
          <w:sz w:val="24"/>
          <w:szCs w:val="24"/>
        </w:rPr>
        <w:t>董监高自评</w:t>
      </w:r>
      <w:proofErr w:type="gramEnd"/>
      <w:r>
        <w:rPr>
          <w:rFonts w:asciiTheme="minorEastAsia" w:eastAsiaTheme="minorEastAsia" w:hAnsiTheme="minorEastAsia" w:cstheme="minorEastAsia" w:hint="eastAsia"/>
          <w:sz w:val="24"/>
          <w:szCs w:val="24"/>
        </w:rPr>
        <w:t>、互评结果，对履职资料进行综合分析，综合评价</w:t>
      </w:r>
      <w:proofErr w:type="gramStart"/>
      <w:r>
        <w:rPr>
          <w:rFonts w:asciiTheme="minorEastAsia" w:eastAsiaTheme="minorEastAsia" w:hAnsiTheme="minorEastAsia" w:cstheme="minorEastAsia" w:hint="eastAsia"/>
          <w:sz w:val="24"/>
          <w:szCs w:val="24"/>
        </w:rPr>
        <w:t>董监高履职</w:t>
      </w:r>
      <w:proofErr w:type="gramEnd"/>
      <w:r>
        <w:rPr>
          <w:rFonts w:asciiTheme="minorEastAsia" w:eastAsiaTheme="minorEastAsia" w:hAnsiTheme="minorEastAsia" w:cstheme="minorEastAsia" w:hint="eastAsia"/>
          <w:sz w:val="24"/>
          <w:szCs w:val="24"/>
        </w:rPr>
        <w:t>情况，审慎确定履职评价结果，形成履职评价报告，全面客观反映</w:t>
      </w:r>
      <w:proofErr w:type="gramStart"/>
      <w:r>
        <w:rPr>
          <w:rFonts w:asciiTheme="minorEastAsia" w:eastAsiaTheme="minorEastAsia" w:hAnsiTheme="minorEastAsia" w:cstheme="minorEastAsia" w:hint="eastAsia"/>
          <w:sz w:val="24"/>
          <w:szCs w:val="24"/>
        </w:rPr>
        <w:t>董监高履职</w:t>
      </w:r>
      <w:proofErr w:type="gramEnd"/>
      <w:r>
        <w:rPr>
          <w:rFonts w:asciiTheme="minorEastAsia" w:eastAsiaTheme="minorEastAsia" w:hAnsiTheme="minorEastAsia" w:cstheme="minorEastAsia" w:hint="eastAsia"/>
          <w:sz w:val="24"/>
          <w:szCs w:val="24"/>
        </w:rPr>
        <w:t>情况。</w:t>
      </w:r>
      <w:r>
        <w:rPr>
          <w:rFonts w:asciiTheme="minorEastAsia" w:eastAsiaTheme="minorEastAsia" w:hAnsiTheme="minorEastAsia" w:cstheme="minorEastAsia" w:hint="eastAsia"/>
          <w:b/>
          <w:bCs/>
          <w:sz w:val="24"/>
          <w:szCs w:val="24"/>
        </w:rPr>
        <w:t>三是</w:t>
      </w:r>
      <w:r>
        <w:rPr>
          <w:rFonts w:asciiTheme="minorEastAsia" w:eastAsiaTheme="minorEastAsia" w:hAnsiTheme="minorEastAsia" w:cstheme="minorEastAsia" w:hint="eastAsia"/>
          <w:sz w:val="24"/>
          <w:szCs w:val="24"/>
        </w:rPr>
        <w:t>做好评价结果运用，及时将监事会对董事会和高级管</w:t>
      </w:r>
      <w:r>
        <w:rPr>
          <w:rFonts w:asciiTheme="minorEastAsia" w:eastAsiaTheme="minorEastAsia" w:hAnsiTheme="minorEastAsia" w:cstheme="minorEastAsia" w:hint="eastAsia"/>
          <w:sz w:val="24"/>
          <w:szCs w:val="24"/>
        </w:rPr>
        <w:lastRenderedPageBreak/>
        <w:t>理层及其成员的履职评价结果向董事会和高级管理层反馈，并按要求通报股东大会和向监管部门报告，通过履职评价有效促进董事和高级管理人员履职尽职。</w:t>
      </w:r>
    </w:p>
    <w:p w:rsidR="008768CC" w:rsidRDefault="008768CC" w:rsidP="008768CC">
      <w:pPr>
        <w:spacing w:line="50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4.深化财务监督。</w:t>
      </w:r>
      <w:r>
        <w:rPr>
          <w:rFonts w:asciiTheme="minorEastAsia" w:eastAsiaTheme="minorEastAsia" w:hAnsiTheme="minorEastAsia" w:cstheme="minorEastAsia" w:hint="eastAsia"/>
          <w:sz w:val="24"/>
          <w:szCs w:val="24"/>
        </w:rPr>
        <w:t>监事会不断深化财务监督，促进全行经营管理稳健健康发展。</w:t>
      </w:r>
      <w:r>
        <w:rPr>
          <w:rFonts w:asciiTheme="minorEastAsia" w:eastAsiaTheme="minorEastAsia" w:hAnsiTheme="minorEastAsia" w:cstheme="minorEastAsia" w:hint="eastAsia"/>
          <w:b/>
          <w:bCs/>
          <w:sz w:val="24"/>
          <w:szCs w:val="24"/>
        </w:rPr>
        <w:t>一是</w:t>
      </w:r>
      <w:r>
        <w:rPr>
          <w:rFonts w:asciiTheme="minorEastAsia" w:eastAsiaTheme="minorEastAsia" w:hAnsiTheme="minorEastAsia" w:cstheme="minorEastAsia" w:hint="eastAsia"/>
          <w:sz w:val="24"/>
          <w:szCs w:val="24"/>
        </w:rPr>
        <w:t>审议年度报告、对报告的编制和审核程序以及报告内容进行监督，重点关注年度报告信息的真实性、准确性、完整性，并出具了书面审核意见。</w:t>
      </w:r>
      <w:r>
        <w:rPr>
          <w:rFonts w:asciiTheme="minorEastAsia" w:eastAsiaTheme="minorEastAsia" w:hAnsiTheme="minorEastAsia" w:cstheme="minorEastAsia" w:hint="eastAsia"/>
          <w:b/>
          <w:bCs/>
          <w:sz w:val="24"/>
          <w:szCs w:val="24"/>
        </w:rPr>
        <w:t>二是</w:t>
      </w:r>
      <w:r>
        <w:rPr>
          <w:rFonts w:asciiTheme="minorEastAsia" w:eastAsiaTheme="minorEastAsia" w:hAnsiTheme="minorEastAsia" w:cstheme="minorEastAsia" w:hint="eastAsia"/>
          <w:sz w:val="24"/>
          <w:szCs w:val="24"/>
        </w:rPr>
        <w:t>监督财务事项决策，审议年度经营计划和财务决算、预算、利润分配等方案，持续推动本行财务规范运作。</w:t>
      </w:r>
      <w:r>
        <w:rPr>
          <w:rFonts w:asciiTheme="minorEastAsia" w:eastAsiaTheme="minorEastAsia" w:hAnsiTheme="minorEastAsia" w:cstheme="minorEastAsia" w:hint="eastAsia"/>
          <w:b/>
          <w:bCs/>
          <w:sz w:val="24"/>
          <w:szCs w:val="24"/>
        </w:rPr>
        <w:t>三是</w:t>
      </w:r>
      <w:r>
        <w:rPr>
          <w:rFonts w:asciiTheme="minorEastAsia" w:eastAsiaTheme="minorEastAsia" w:hAnsiTheme="minorEastAsia" w:cstheme="minorEastAsia" w:hint="eastAsia"/>
          <w:sz w:val="24"/>
          <w:szCs w:val="24"/>
        </w:rPr>
        <w:t>定期听取经营信息报告，重点关注效益、规模和流动性等监管指标的控制情况，加强对财务状况的风险</w:t>
      </w:r>
      <w:proofErr w:type="gramStart"/>
      <w:r>
        <w:rPr>
          <w:rFonts w:asciiTheme="minorEastAsia" w:eastAsiaTheme="minorEastAsia" w:hAnsiTheme="minorEastAsia" w:cstheme="minorEastAsia" w:hint="eastAsia"/>
          <w:sz w:val="24"/>
          <w:szCs w:val="24"/>
        </w:rPr>
        <w:t>研</w:t>
      </w:r>
      <w:proofErr w:type="gramEnd"/>
      <w:r>
        <w:rPr>
          <w:rFonts w:asciiTheme="minorEastAsia" w:eastAsiaTheme="minorEastAsia" w:hAnsiTheme="minorEastAsia" w:cstheme="minorEastAsia" w:hint="eastAsia"/>
          <w:sz w:val="24"/>
          <w:szCs w:val="24"/>
        </w:rPr>
        <w:t>判和提示，增强监督成效；四是加强财务列支事项监督，列席大额财务费用列支的财务管理审批决策会议14次，对财务决策事项发表监督意见12条，组织财务运营专项检查1次，并对检查发现存在问题督促落实整改。</w:t>
      </w:r>
      <w:r>
        <w:rPr>
          <w:rFonts w:asciiTheme="minorEastAsia" w:eastAsiaTheme="minorEastAsia" w:hAnsiTheme="minorEastAsia" w:cstheme="minorEastAsia" w:hint="eastAsia"/>
          <w:b/>
          <w:bCs/>
          <w:sz w:val="24"/>
          <w:szCs w:val="24"/>
        </w:rPr>
        <w:t>四是</w:t>
      </w:r>
      <w:r>
        <w:rPr>
          <w:rFonts w:asciiTheme="minorEastAsia" w:eastAsiaTheme="minorEastAsia" w:hAnsiTheme="minorEastAsia" w:cstheme="minorEastAsia" w:hint="eastAsia"/>
          <w:sz w:val="24"/>
          <w:szCs w:val="24"/>
        </w:rPr>
        <w:t>听取资本管理专项审计、流动性风险压力测试分析情况及数据质量治理战略目标执行情况等报告，督促有关部门加强整改，规范财务行为，促进全行稳健经营发展。</w:t>
      </w:r>
      <w:r>
        <w:rPr>
          <w:rFonts w:asciiTheme="minorEastAsia" w:eastAsiaTheme="minorEastAsia" w:hAnsiTheme="minorEastAsia" w:cstheme="minorEastAsia" w:hint="eastAsia"/>
          <w:b/>
          <w:sz w:val="24"/>
          <w:szCs w:val="24"/>
        </w:rPr>
        <w:t>五是</w:t>
      </w:r>
      <w:r>
        <w:rPr>
          <w:rFonts w:asciiTheme="minorEastAsia" w:eastAsiaTheme="minorEastAsia" w:hAnsiTheme="minorEastAsia" w:cstheme="minorEastAsia" w:hint="eastAsia"/>
          <w:sz w:val="24"/>
          <w:szCs w:val="24"/>
        </w:rPr>
        <w:t>加强与外部审计机构的沟通交流，审议年度财务审计报告，借助外部审计力量发挥监事会监督作用;审议聘请会计师事务所的提案，监督聘请外部审计机构的合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性、聘用条款和审计费用的公允性。</w:t>
      </w:r>
    </w:p>
    <w:p w:rsidR="008768CC" w:rsidRDefault="008768CC" w:rsidP="008768CC">
      <w:pPr>
        <w:overflowPunct w:val="0"/>
        <w:spacing w:line="50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5.强化内控合</w:t>
      </w:r>
      <w:proofErr w:type="gramStart"/>
      <w:r>
        <w:rPr>
          <w:rFonts w:asciiTheme="minorEastAsia" w:eastAsiaTheme="minorEastAsia" w:hAnsiTheme="minorEastAsia" w:cstheme="minorEastAsia" w:hint="eastAsia"/>
          <w:b/>
          <w:sz w:val="24"/>
          <w:szCs w:val="24"/>
        </w:rPr>
        <w:t>规</w:t>
      </w:r>
      <w:proofErr w:type="gramEnd"/>
      <w:r>
        <w:rPr>
          <w:rFonts w:asciiTheme="minorEastAsia" w:eastAsiaTheme="minorEastAsia" w:hAnsiTheme="minorEastAsia" w:cstheme="minorEastAsia" w:hint="eastAsia"/>
          <w:b/>
          <w:sz w:val="24"/>
          <w:szCs w:val="24"/>
        </w:rPr>
        <w:t>监督。</w:t>
      </w:r>
      <w:r>
        <w:rPr>
          <w:rFonts w:asciiTheme="minorEastAsia" w:eastAsiaTheme="minorEastAsia" w:hAnsiTheme="minorEastAsia" w:cstheme="minorEastAsia" w:hint="eastAsia"/>
          <w:sz w:val="24"/>
          <w:szCs w:val="24"/>
        </w:rPr>
        <w:t>监事会强化内控合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工作监督，督促全行依法合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经营。</w:t>
      </w:r>
      <w:r>
        <w:rPr>
          <w:rFonts w:asciiTheme="minorEastAsia" w:eastAsiaTheme="minorEastAsia" w:hAnsiTheme="minorEastAsia" w:cstheme="minorEastAsia" w:hint="eastAsia"/>
          <w:b/>
          <w:bCs/>
          <w:sz w:val="24"/>
          <w:szCs w:val="24"/>
        </w:rPr>
        <w:t>一是</w:t>
      </w:r>
      <w:r>
        <w:rPr>
          <w:rFonts w:asciiTheme="minorEastAsia" w:eastAsiaTheme="minorEastAsia" w:hAnsiTheme="minorEastAsia" w:cstheme="minorEastAsia" w:hint="eastAsia"/>
          <w:sz w:val="24"/>
          <w:szCs w:val="24"/>
        </w:rPr>
        <w:t>加强内控合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体系监督。督导开展内控评价工作,审议内部控制制度、内部控制评价报告等提案，督促管理层强化内控履职考核，推进合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文化建设。</w:t>
      </w:r>
      <w:r>
        <w:rPr>
          <w:rFonts w:asciiTheme="minorEastAsia" w:eastAsiaTheme="minorEastAsia" w:hAnsiTheme="minorEastAsia" w:cstheme="minorEastAsia" w:hint="eastAsia"/>
          <w:b/>
          <w:bCs/>
          <w:sz w:val="24"/>
          <w:szCs w:val="24"/>
        </w:rPr>
        <w:t>二是</w:t>
      </w:r>
      <w:r>
        <w:rPr>
          <w:rFonts w:asciiTheme="minorEastAsia" w:eastAsiaTheme="minorEastAsia" w:hAnsiTheme="minorEastAsia" w:cstheme="minorEastAsia" w:hint="eastAsia"/>
          <w:sz w:val="24"/>
          <w:szCs w:val="24"/>
        </w:rPr>
        <w:t>强化反洗钱内控监督。审议反洗钱和反恐怖融资工作要点、反洗</w:t>
      </w:r>
      <w:proofErr w:type="gramStart"/>
      <w:r>
        <w:rPr>
          <w:rFonts w:asciiTheme="minorEastAsia" w:eastAsiaTheme="minorEastAsia" w:hAnsiTheme="minorEastAsia" w:cstheme="minorEastAsia" w:hint="eastAsia"/>
          <w:sz w:val="24"/>
          <w:szCs w:val="24"/>
        </w:rPr>
        <w:t>钱工作</w:t>
      </w:r>
      <w:proofErr w:type="gramEnd"/>
      <w:r>
        <w:rPr>
          <w:rFonts w:asciiTheme="minorEastAsia" w:eastAsiaTheme="minorEastAsia" w:hAnsiTheme="minorEastAsia" w:cstheme="minorEastAsia" w:hint="eastAsia"/>
          <w:sz w:val="24"/>
          <w:szCs w:val="24"/>
        </w:rPr>
        <w:t>报告等提案，督促管理</w:t>
      </w:r>
      <w:proofErr w:type="gramStart"/>
      <w:r>
        <w:rPr>
          <w:rFonts w:asciiTheme="minorEastAsia" w:eastAsiaTheme="minorEastAsia" w:hAnsiTheme="minorEastAsia" w:cstheme="minorEastAsia" w:hint="eastAsia"/>
          <w:sz w:val="24"/>
          <w:szCs w:val="24"/>
        </w:rPr>
        <w:t>层持续</w:t>
      </w:r>
      <w:proofErr w:type="gramEnd"/>
      <w:r>
        <w:rPr>
          <w:rFonts w:asciiTheme="minorEastAsia" w:eastAsiaTheme="minorEastAsia" w:hAnsiTheme="minorEastAsia" w:cstheme="minorEastAsia" w:hint="eastAsia"/>
          <w:sz w:val="24"/>
          <w:szCs w:val="24"/>
        </w:rPr>
        <w:t>优化洗钱风险评估机制，落实洗钱风险管控措施，提升全行洗钱风险管理的主动性和前瞻性。</w:t>
      </w:r>
      <w:r>
        <w:rPr>
          <w:rFonts w:asciiTheme="minorEastAsia" w:eastAsiaTheme="minorEastAsia" w:hAnsiTheme="minorEastAsia" w:cstheme="minorEastAsia" w:hint="eastAsia"/>
          <w:b/>
          <w:bCs/>
          <w:sz w:val="24"/>
          <w:szCs w:val="24"/>
        </w:rPr>
        <w:t>三是</w:t>
      </w:r>
      <w:proofErr w:type="gramStart"/>
      <w:r>
        <w:rPr>
          <w:rFonts w:asciiTheme="minorEastAsia" w:eastAsiaTheme="minorEastAsia" w:hAnsiTheme="minorEastAsia" w:cstheme="minorEastAsia" w:hint="eastAsia"/>
          <w:sz w:val="24"/>
          <w:szCs w:val="24"/>
        </w:rPr>
        <w:t>加强案防工作</w:t>
      </w:r>
      <w:proofErr w:type="gramEnd"/>
      <w:r>
        <w:rPr>
          <w:rFonts w:asciiTheme="minorEastAsia" w:eastAsiaTheme="minorEastAsia" w:hAnsiTheme="minorEastAsia" w:cstheme="minorEastAsia" w:hint="eastAsia"/>
          <w:sz w:val="24"/>
          <w:szCs w:val="24"/>
        </w:rPr>
        <w:t>监督。审议</w:t>
      </w:r>
      <w:proofErr w:type="gramStart"/>
      <w:r>
        <w:rPr>
          <w:rFonts w:asciiTheme="minorEastAsia" w:eastAsiaTheme="minorEastAsia" w:hAnsiTheme="minorEastAsia" w:cstheme="minorEastAsia" w:hint="eastAsia"/>
          <w:sz w:val="24"/>
          <w:szCs w:val="24"/>
        </w:rPr>
        <w:t>全行案防工作</w:t>
      </w:r>
      <w:proofErr w:type="gramEnd"/>
      <w:r>
        <w:rPr>
          <w:rFonts w:asciiTheme="minorEastAsia" w:eastAsiaTheme="minorEastAsia" w:hAnsiTheme="minorEastAsia" w:cstheme="minorEastAsia" w:hint="eastAsia"/>
          <w:sz w:val="24"/>
          <w:szCs w:val="24"/>
        </w:rPr>
        <w:t>方案，</w:t>
      </w:r>
      <w:proofErr w:type="gramStart"/>
      <w:r>
        <w:rPr>
          <w:rFonts w:asciiTheme="minorEastAsia" w:eastAsiaTheme="minorEastAsia" w:hAnsiTheme="minorEastAsia" w:cstheme="minorEastAsia" w:hint="eastAsia"/>
          <w:sz w:val="24"/>
          <w:szCs w:val="24"/>
        </w:rPr>
        <w:t>听取案防</w:t>
      </w:r>
      <w:proofErr w:type="gramEnd"/>
      <w:r>
        <w:rPr>
          <w:rFonts w:asciiTheme="minorEastAsia" w:eastAsiaTheme="minorEastAsia" w:hAnsiTheme="minorEastAsia" w:cstheme="minorEastAsia" w:hint="eastAsia"/>
          <w:sz w:val="24"/>
          <w:szCs w:val="24"/>
        </w:rPr>
        <w:t>工作报告，</w:t>
      </w:r>
      <w:proofErr w:type="gramStart"/>
      <w:r>
        <w:rPr>
          <w:rFonts w:asciiTheme="minorEastAsia" w:eastAsiaTheme="minorEastAsia" w:hAnsiTheme="minorEastAsia" w:cstheme="minorEastAsia" w:hint="eastAsia"/>
          <w:sz w:val="24"/>
          <w:szCs w:val="24"/>
        </w:rPr>
        <w:t>出席案防</w:t>
      </w:r>
      <w:proofErr w:type="gramEnd"/>
      <w:r>
        <w:rPr>
          <w:rFonts w:asciiTheme="minorEastAsia" w:eastAsiaTheme="minorEastAsia" w:hAnsiTheme="minorEastAsia" w:cstheme="minorEastAsia" w:hint="eastAsia"/>
          <w:sz w:val="24"/>
          <w:szCs w:val="24"/>
        </w:rPr>
        <w:t>工作会议，对案防工作发表监督意见，督促高管层</w:t>
      </w:r>
      <w:proofErr w:type="gramStart"/>
      <w:r>
        <w:rPr>
          <w:rFonts w:asciiTheme="minorEastAsia" w:eastAsiaTheme="minorEastAsia" w:hAnsiTheme="minorEastAsia" w:cstheme="minorEastAsia" w:hint="eastAsia"/>
          <w:sz w:val="24"/>
          <w:szCs w:val="24"/>
        </w:rPr>
        <w:t>做好案防培训</w:t>
      </w:r>
      <w:proofErr w:type="gramEnd"/>
      <w:r>
        <w:rPr>
          <w:rFonts w:asciiTheme="minorEastAsia" w:eastAsiaTheme="minorEastAsia" w:hAnsiTheme="minorEastAsia" w:cstheme="minorEastAsia" w:hint="eastAsia"/>
          <w:sz w:val="24"/>
          <w:szCs w:val="24"/>
        </w:rPr>
        <w:t>教育、案件风险排查和案件防控问题整改，强化员工异常行为监测，及时化解案件风险隐患。</w:t>
      </w:r>
    </w:p>
    <w:p w:rsidR="008768CC" w:rsidRDefault="008768CC" w:rsidP="008768CC">
      <w:pPr>
        <w:spacing w:line="50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6.强化风险管理监督。</w:t>
      </w:r>
      <w:r>
        <w:rPr>
          <w:rFonts w:asciiTheme="minorEastAsia" w:eastAsiaTheme="minorEastAsia" w:hAnsiTheme="minorEastAsia" w:cstheme="minorEastAsia" w:hint="eastAsia"/>
          <w:sz w:val="24"/>
          <w:szCs w:val="24"/>
        </w:rPr>
        <w:t>监事会加强全面风险管理监督，促进提升风险管理能力。</w:t>
      </w:r>
      <w:r>
        <w:rPr>
          <w:rFonts w:asciiTheme="minorEastAsia" w:eastAsiaTheme="minorEastAsia" w:hAnsiTheme="minorEastAsia" w:cstheme="minorEastAsia" w:hint="eastAsia"/>
          <w:b/>
          <w:bCs/>
          <w:sz w:val="24"/>
          <w:szCs w:val="24"/>
        </w:rPr>
        <w:t>一是</w:t>
      </w:r>
      <w:r>
        <w:rPr>
          <w:rFonts w:asciiTheme="minorEastAsia" w:eastAsiaTheme="minorEastAsia" w:hAnsiTheme="minorEastAsia" w:cstheme="minorEastAsia" w:hint="eastAsia"/>
          <w:sz w:val="24"/>
          <w:szCs w:val="24"/>
        </w:rPr>
        <w:t>审议风险管理工作报告、风险管理专项审计报告、风险容忍度方案、风险评</w:t>
      </w:r>
      <w:r>
        <w:rPr>
          <w:rFonts w:asciiTheme="minorEastAsia" w:eastAsiaTheme="minorEastAsia" w:hAnsiTheme="minorEastAsia" w:cstheme="minorEastAsia" w:hint="eastAsia"/>
          <w:sz w:val="24"/>
          <w:szCs w:val="24"/>
        </w:rPr>
        <w:lastRenderedPageBreak/>
        <w:t>估报告等提案，督促高管</w:t>
      </w:r>
      <w:proofErr w:type="gramStart"/>
      <w:r>
        <w:rPr>
          <w:rFonts w:asciiTheme="minorEastAsia" w:eastAsiaTheme="minorEastAsia" w:hAnsiTheme="minorEastAsia" w:cstheme="minorEastAsia" w:hint="eastAsia"/>
          <w:sz w:val="24"/>
          <w:szCs w:val="24"/>
        </w:rPr>
        <w:t>层完善</w:t>
      </w:r>
      <w:proofErr w:type="gramEnd"/>
      <w:r>
        <w:rPr>
          <w:rFonts w:asciiTheme="minorEastAsia" w:eastAsiaTheme="minorEastAsia" w:hAnsiTheme="minorEastAsia" w:cstheme="minorEastAsia" w:hint="eastAsia"/>
          <w:sz w:val="24"/>
          <w:szCs w:val="24"/>
        </w:rPr>
        <w:t>全面风险管理机制，统筹优化各类风险管理策略，加强对各类风险及资产质量的管控。</w:t>
      </w:r>
      <w:r>
        <w:rPr>
          <w:rFonts w:asciiTheme="minorEastAsia" w:eastAsiaTheme="minorEastAsia" w:hAnsiTheme="minorEastAsia" w:cstheme="minorEastAsia" w:hint="eastAsia"/>
          <w:b/>
          <w:bCs/>
          <w:sz w:val="24"/>
          <w:szCs w:val="24"/>
        </w:rPr>
        <w:t>二是</w:t>
      </w:r>
      <w:r>
        <w:rPr>
          <w:rFonts w:asciiTheme="minorEastAsia" w:eastAsiaTheme="minorEastAsia" w:hAnsiTheme="minorEastAsia" w:cstheme="minorEastAsia" w:hint="eastAsia"/>
          <w:sz w:val="24"/>
          <w:szCs w:val="24"/>
        </w:rPr>
        <w:t>列席董事会下设合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与风险管理委员会、高级管理层下设经营与风险管理委员会会议，监督各委员会运行情况，全面审阅其经营发展及风险管理情况，发表合理化建议；</w:t>
      </w:r>
      <w:r>
        <w:rPr>
          <w:rFonts w:asciiTheme="minorEastAsia" w:eastAsiaTheme="minorEastAsia" w:hAnsiTheme="minorEastAsia" w:cstheme="minorEastAsia" w:hint="eastAsia"/>
          <w:b/>
          <w:bCs/>
          <w:sz w:val="24"/>
          <w:szCs w:val="24"/>
        </w:rPr>
        <w:t>三是</w:t>
      </w:r>
      <w:r>
        <w:rPr>
          <w:rFonts w:asciiTheme="minorEastAsia" w:eastAsiaTheme="minorEastAsia" w:hAnsiTheme="minorEastAsia" w:cstheme="minorEastAsia" w:hint="eastAsia"/>
          <w:sz w:val="24"/>
          <w:szCs w:val="24"/>
        </w:rPr>
        <w:t>向董事会和高级管理层提出了监督意见书4份、风险提示3份，对存在的突出风险隐患及时提醒，督促做好风险防范。持续加强与董事会和高级管理层沟通与交流，</w:t>
      </w:r>
      <w:r>
        <w:rPr>
          <w:rFonts w:asciiTheme="minorEastAsia" w:eastAsiaTheme="minorEastAsia" w:hAnsiTheme="minorEastAsia" w:cstheme="minorEastAsia" w:hint="eastAsia"/>
          <w:kern w:val="0"/>
          <w:sz w:val="24"/>
          <w:szCs w:val="24"/>
        </w:rPr>
        <w:t>不断</w:t>
      </w:r>
      <w:r>
        <w:rPr>
          <w:rFonts w:asciiTheme="minorEastAsia" w:eastAsiaTheme="minorEastAsia" w:hAnsiTheme="minorEastAsia" w:cstheme="minorEastAsia" w:hint="eastAsia"/>
          <w:sz w:val="24"/>
          <w:szCs w:val="24"/>
        </w:rPr>
        <w:t>提高风险管理水平。</w:t>
      </w:r>
    </w:p>
    <w:p w:rsidR="008768CC" w:rsidRDefault="008768CC" w:rsidP="008768CC">
      <w:pPr>
        <w:spacing w:line="500" w:lineRule="exact"/>
        <w:ind w:firstLineChars="0" w:firstLine="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7.强化对审计工作指导。</w:t>
      </w:r>
      <w:r>
        <w:rPr>
          <w:rFonts w:asciiTheme="minorEastAsia" w:eastAsiaTheme="minorEastAsia" w:hAnsiTheme="minorEastAsia" w:cstheme="minorEastAsia" w:hint="eastAsia"/>
          <w:bCs/>
          <w:sz w:val="24"/>
          <w:szCs w:val="24"/>
        </w:rPr>
        <w:t>监事会加强对审计工作督促指导，充分发挥内部审计工作的“眼睛”“利剑”“参谋”作用，</w:t>
      </w:r>
      <w:r>
        <w:rPr>
          <w:rFonts w:asciiTheme="minorEastAsia" w:eastAsiaTheme="minorEastAsia" w:hAnsiTheme="minorEastAsia" w:cstheme="minorEastAsia" w:hint="eastAsia"/>
          <w:sz w:val="24"/>
          <w:szCs w:val="24"/>
        </w:rPr>
        <w:t>切实守住风险底线。</w:t>
      </w:r>
      <w:r>
        <w:rPr>
          <w:rFonts w:asciiTheme="minorEastAsia" w:eastAsiaTheme="minorEastAsia" w:hAnsiTheme="minorEastAsia" w:cstheme="minorEastAsia" w:hint="eastAsia"/>
          <w:b/>
          <w:bCs/>
          <w:sz w:val="24"/>
          <w:szCs w:val="24"/>
        </w:rPr>
        <w:t>一是</w:t>
      </w:r>
      <w:r>
        <w:rPr>
          <w:rFonts w:asciiTheme="minorEastAsia" w:eastAsiaTheme="minorEastAsia" w:hAnsiTheme="minorEastAsia" w:cstheme="minorEastAsia" w:hint="eastAsia"/>
          <w:sz w:val="24"/>
          <w:szCs w:val="24"/>
        </w:rPr>
        <w:t>加强</w:t>
      </w:r>
      <w:proofErr w:type="gramStart"/>
      <w:r>
        <w:rPr>
          <w:rFonts w:asciiTheme="minorEastAsia" w:eastAsiaTheme="minorEastAsia" w:hAnsiTheme="minorEastAsia" w:cstheme="minorEastAsia" w:hint="eastAsia"/>
          <w:sz w:val="24"/>
          <w:szCs w:val="24"/>
        </w:rPr>
        <w:t>对内审条线</w:t>
      </w:r>
      <w:proofErr w:type="gramEnd"/>
      <w:r>
        <w:rPr>
          <w:rFonts w:asciiTheme="minorEastAsia" w:eastAsiaTheme="minorEastAsia" w:hAnsiTheme="minorEastAsia" w:cstheme="minorEastAsia" w:hint="eastAsia"/>
          <w:sz w:val="24"/>
          <w:szCs w:val="24"/>
        </w:rPr>
        <w:t>工作的监督指导，审议年度审计工作报告、审计计划、各类专项审计报告等提案28个，并且针对13个提案发表了监督意见，推动审计工作坚持监管导向和风险导向，切实履行第三道防线监督职责。</w:t>
      </w:r>
      <w:r>
        <w:rPr>
          <w:rFonts w:asciiTheme="minorEastAsia" w:eastAsiaTheme="minorEastAsia" w:hAnsiTheme="minorEastAsia" w:cstheme="minorEastAsia" w:hint="eastAsia"/>
          <w:b/>
          <w:sz w:val="24"/>
          <w:szCs w:val="24"/>
        </w:rPr>
        <w:t>二是</w:t>
      </w:r>
      <w:r>
        <w:rPr>
          <w:rFonts w:asciiTheme="minorEastAsia" w:eastAsiaTheme="minorEastAsia" w:hAnsiTheme="minorEastAsia" w:cstheme="minorEastAsia" w:hint="eastAsia"/>
          <w:sz w:val="24"/>
          <w:szCs w:val="24"/>
        </w:rPr>
        <w:t>指导审计部组织开展资本管理专项审计、数据质量管理专项审计、金融消费者权益保护专项审计等21项专项审计工作，督促内部审计突出重点，拓展审计深度和广度，督促发挥内部监督利器作用。</w:t>
      </w:r>
      <w:r>
        <w:rPr>
          <w:rFonts w:asciiTheme="minorEastAsia" w:eastAsiaTheme="minorEastAsia" w:hAnsiTheme="minorEastAsia" w:cstheme="minorEastAsia" w:hint="eastAsia"/>
          <w:b/>
          <w:bCs/>
          <w:sz w:val="24"/>
          <w:szCs w:val="24"/>
        </w:rPr>
        <w:t>三是</w:t>
      </w:r>
      <w:r>
        <w:rPr>
          <w:rFonts w:asciiTheme="minorEastAsia" w:eastAsiaTheme="minorEastAsia" w:hAnsiTheme="minorEastAsia" w:cstheme="minorEastAsia" w:hint="eastAsia"/>
          <w:sz w:val="24"/>
          <w:szCs w:val="24"/>
        </w:rPr>
        <w:t>指导审计部开展经济责任审计22项，通过经济责任客观评价审计对象的履职行为，为对审计对象的考核提供参考依据，促进各级领导干部守法守纪守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、尽职履责，完善监督制约机制。</w:t>
      </w:r>
    </w:p>
    <w:p w:rsidR="008768CC" w:rsidRDefault="008768CC" w:rsidP="008768CC">
      <w:pPr>
        <w:adjustRightInd w:val="0"/>
        <w:snapToGrid w:val="0"/>
        <w:spacing w:line="50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8.督促问题整改工作。</w:t>
      </w:r>
      <w:r>
        <w:rPr>
          <w:rFonts w:asciiTheme="minorEastAsia" w:eastAsiaTheme="minorEastAsia" w:hAnsiTheme="minorEastAsia" w:cstheme="minorEastAsia" w:hint="eastAsia"/>
          <w:sz w:val="24"/>
          <w:szCs w:val="24"/>
        </w:rPr>
        <w:t>监事会坚持督促本行建立各项存在问题</w:t>
      </w:r>
      <w:proofErr w:type="gramStart"/>
      <w:r>
        <w:rPr>
          <w:rFonts w:asciiTheme="minorEastAsia" w:eastAsiaTheme="minorEastAsia" w:hAnsiTheme="minorEastAsia" w:cstheme="minorEastAsia" w:hint="eastAsia"/>
          <w:sz w:val="24"/>
          <w:szCs w:val="24"/>
        </w:rPr>
        <w:t>整改台</w:t>
      </w:r>
      <w:proofErr w:type="gramEnd"/>
      <w:r>
        <w:rPr>
          <w:rFonts w:asciiTheme="minorEastAsia" w:eastAsiaTheme="minorEastAsia" w:hAnsiTheme="minorEastAsia" w:cstheme="minorEastAsia" w:hint="eastAsia"/>
          <w:sz w:val="24"/>
          <w:szCs w:val="24"/>
        </w:rPr>
        <w:t>账，定期跟踪督促问题整改。</w:t>
      </w:r>
      <w:r>
        <w:rPr>
          <w:rFonts w:asciiTheme="minorEastAsia" w:eastAsiaTheme="minorEastAsia" w:hAnsiTheme="minorEastAsia" w:cstheme="minorEastAsia" w:hint="eastAsia"/>
          <w:b/>
          <w:sz w:val="24"/>
          <w:szCs w:val="24"/>
        </w:rPr>
        <w:t>一是</w:t>
      </w:r>
      <w:r>
        <w:rPr>
          <w:rFonts w:asciiTheme="minorEastAsia" w:eastAsiaTheme="minorEastAsia" w:hAnsiTheme="minorEastAsia" w:cstheme="minorEastAsia" w:hint="eastAsia"/>
          <w:sz w:val="24"/>
          <w:szCs w:val="24"/>
        </w:rPr>
        <w:t>指导审计部开展各项审计检查发现问题383个，</w:t>
      </w:r>
      <w:r>
        <w:rPr>
          <w:rFonts w:asciiTheme="minorEastAsia" w:eastAsiaTheme="minorEastAsia" w:hAnsiTheme="minorEastAsia" w:cstheme="minorEastAsia" w:hint="eastAsia"/>
          <w:spacing w:val="-6"/>
          <w:sz w:val="24"/>
          <w:szCs w:val="24"/>
        </w:rPr>
        <w:t>已整改问题232个；审计发现问题整改率为60.57%；已到期整改问题198个，到期整改率为100%；督促问题整改，向相关问题单位</w:t>
      </w:r>
      <w:r>
        <w:rPr>
          <w:rFonts w:asciiTheme="minorEastAsia" w:eastAsiaTheme="minorEastAsia" w:hAnsiTheme="minorEastAsia" w:cstheme="minorEastAsia" w:hint="eastAsia"/>
          <w:sz w:val="24"/>
          <w:szCs w:val="24"/>
        </w:rPr>
        <w:t>发出《整改通知书》133份、《整改督办通知书》10份、《监督意见书》10份、《管理建议书》5份、《风险提示》2份。</w:t>
      </w:r>
      <w:r>
        <w:rPr>
          <w:rFonts w:asciiTheme="minorEastAsia" w:eastAsiaTheme="minorEastAsia" w:hAnsiTheme="minorEastAsia" w:cstheme="minorEastAsia" w:hint="eastAsia"/>
          <w:b/>
          <w:sz w:val="24"/>
          <w:szCs w:val="24"/>
        </w:rPr>
        <w:t>二是</w:t>
      </w:r>
      <w:r>
        <w:rPr>
          <w:rFonts w:asciiTheme="minorEastAsia" w:eastAsiaTheme="minorEastAsia" w:hAnsiTheme="minorEastAsia" w:cstheme="minorEastAsia" w:hint="eastAsia"/>
          <w:sz w:val="24"/>
          <w:szCs w:val="24"/>
        </w:rPr>
        <w:t>监事会根据日常监督发现的问题和风险向本行董事会和高管层发出《现场检查意见书》1份，《监督意见》79份，《风险提示》3份督促董事会、高管层对存在问题落实整改。</w:t>
      </w:r>
      <w:r>
        <w:rPr>
          <w:rFonts w:asciiTheme="minorEastAsia" w:eastAsiaTheme="minorEastAsia" w:hAnsiTheme="minorEastAsia" w:cstheme="minorEastAsia" w:hint="eastAsia"/>
          <w:b/>
          <w:sz w:val="24"/>
          <w:szCs w:val="24"/>
        </w:rPr>
        <w:t>三是</w:t>
      </w:r>
      <w:r>
        <w:rPr>
          <w:rFonts w:asciiTheme="minorEastAsia" w:eastAsiaTheme="minorEastAsia" w:hAnsiTheme="minorEastAsia" w:cstheme="minorEastAsia" w:hint="eastAsia"/>
          <w:sz w:val="24"/>
          <w:szCs w:val="24"/>
        </w:rPr>
        <w:t>监事会根据监管部门下发的《专题会议纪要》《风险提示单》等监管发现问题，向本行董事会和高管层发出《整改督办书》14份，《监督意见》1份督促本行对监管发现问题进行落实整改。</w:t>
      </w:r>
    </w:p>
    <w:p w:rsidR="008768CC" w:rsidRDefault="008768CC" w:rsidP="008768CC">
      <w:pPr>
        <w:spacing w:line="500" w:lineRule="exact"/>
        <w:ind w:firstLineChars="0" w:firstLine="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b/>
          <w:sz w:val="24"/>
          <w:szCs w:val="24"/>
        </w:rPr>
        <w:lastRenderedPageBreak/>
        <w:t>9.做好</w:t>
      </w:r>
      <w:r>
        <w:rPr>
          <w:rFonts w:asciiTheme="minorEastAsia" w:eastAsiaTheme="minorEastAsia" w:hAnsiTheme="minorEastAsia" w:cstheme="minorEastAsia" w:hint="eastAsia"/>
          <w:b/>
          <w:sz w:val="24"/>
          <w:szCs w:val="24"/>
          <w:shd w:val="clear" w:color="auto" w:fill="FFFFFF"/>
        </w:rPr>
        <w:t>重大风险披露报告工作。</w:t>
      </w:r>
      <w:r>
        <w:rPr>
          <w:rFonts w:asciiTheme="minorEastAsia" w:eastAsiaTheme="minorEastAsia" w:hAnsiTheme="minorEastAsia" w:cstheme="minorEastAsia" w:hint="eastAsia"/>
          <w:sz w:val="24"/>
          <w:szCs w:val="24"/>
          <w:shd w:val="clear" w:color="auto" w:fill="FFFFFF"/>
        </w:rPr>
        <w:t>2023年4月13日，监事会通过监事长邮箱向省联社审计部报送了《关于信宜农商银行员工涉嫌盗取尾箱现金及客户资金突发事件情况的报告》。</w:t>
      </w:r>
      <w:r>
        <w:rPr>
          <w:rFonts w:asciiTheme="minorEastAsia" w:eastAsiaTheme="minorEastAsia" w:hAnsiTheme="minorEastAsia" w:cstheme="minorEastAsia" w:hint="eastAsia"/>
          <w:sz w:val="24"/>
          <w:szCs w:val="24"/>
        </w:rPr>
        <w:t>目前该案件仍然在调查处理中，监事会持续关注案件进展情况，并且先后听取了本行高管层《关于广东信宜农村商业银行股份有限公司高坡支行柜员黎XX、会计主管陈XX职务侵占罪案件的调查报告》和《关于信宜农商银行高坡支行柜员黎XX、会计主管陈XX职务侵占罪案件的续报》等两份案件进展报告。</w:t>
      </w:r>
    </w:p>
    <w:p w:rsidR="008768CC" w:rsidRDefault="008768CC" w:rsidP="008768CC">
      <w:pPr>
        <w:shd w:val="clear" w:color="auto" w:fill="FFFFFF"/>
        <w:adjustRightInd w:val="0"/>
        <w:snapToGrid w:val="0"/>
        <w:spacing w:line="500" w:lineRule="exact"/>
        <w:ind w:firstLineChars="0" w:firstLine="0"/>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14.4监事会对本行2023年度有关事项的独立意见</w:t>
      </w:r>
    </w:p>
    <w:p w:rsidR="008768CC" w:rsidRDefault="008768CC" w:rsidP="008768CC">
      <w:pPr>
        <w:adjustRightInd w:val="0"/>
        <w:snapToGrid w:val="0"/>
        <w:spacing w:line="500" w:lineRule="exact"/>
        <w:ind w:firstLineChars="0" w:firstLine="0"/>
        <w:outlineLvl w:val="1"/>
        <w:rPr>
          <w:rFonts w:asciiTheme="minorEastAsia" w:eastAsiaTheme="minorEastAsia" w:hAnsiTheme="minorEastAsia" w:cstheme="minorEastAsia"/>
          <w:sz w:val="24"/>
          <w:szCs w:val="24"/>
        </w:rPr>
      </w:pPr>
      <w:bookmarkStart w:id="0" w:name="_Toc164096022"/>
      <w:r>
        <w:rPr>
          <w:rFonts w:asciiTheme="minorEastAsia" w:eastAsiaTheme="minorEastAsia" w:hAnsiTheme="minorEastAsia" w:cstheme="minorEastAsia" w:hint="eastAsia"/>
          <w:b/>
          <w:sz w:val="24"/>
          <w:szCs w:val="24"/>
        </w:rPr>
        <w:t>1.对本行依法运作情况的意见</w:t>
      </w:r>
      <w:r>
        <w:rPr>
          <w:rFonts w:asciiTheme="minorEastAsia" w:eastAsiaTheme="minorEastAsia" w:hAnsiTheme="minorEastAsia" w:cstheme="minorEastAsia" w:hint="eastAsia"/>
          <w:sz w:val="24"/>
          <w:szCs w:val="24"/>
        </w:rPr>
        <w:t>。经列席董事会和高级管理层及其下设专门委员会会议，并对本行公司治理规范运作、高管履职等进行了一系列监督和评价。监事会认为：2023年度本行董事会能贯彻落实国家的各项经济金融政策，认真执行股东大会决议，依法行使职权，持续提升公司治理水平，完善各类风险管理、内控管理、财务管理、信息披露等管理机制，严格监督高级管理人员落实董事会决议，认真履行了职责。高级管理层能贯彻落实国家的各项经济金融政策，认真执行董事会的决议，依法依规开展经营管理活动，对财务开支、不良资产处置及经营管理重要事项集体研究、集体决策，积极推进业务创新，持续改进金融服务，不断优化资本管理，切实提升全面风险管理水平和内部控制管理水平，促进了本行各项业务稳健发展。未发现本行董事、高管人员存在违反法律法规、本行章程或损害本行利益和股东权益的行为。</w:t>
      </w:r>
      <w:bookmarkEnd w:id="0"/>
    </w:p>
    <w:p w:rsidR="008768CC" w:rsidRDefault="008768CC" w:rsidP="008768CC">
      <w:pPr>
        <w:adjustRightInd w:val="0"/>
        <w:snapToGrid w:val="0"/>
        <w:spacing w:line="500" w:lineRule="exact"/>
        <w:ind w:firstLineChars="0" w:firstLine="0"/>
        <w:outlineLvl w:val="1"/>
        <w:rPr>
          <w:rFonts w:asciiTheme="minorEastAsia" w:eastAsiaTheme="minorEastAsia" w:hAnsiTheme="minorEastAsia" w:cstheme="minorEastAsia"/>
          <w:sz w:val="24"/>
          <w:szCs w:val="24"/>
        </w:rPr>
      </w:pPr>
      <w:bookmarkStart w:id="1" w:name="_Toc164096023"/>
      <w:r>
        <w:rPr>
          <w:rFonts w:asciiTheme="minorEastAsia" w:eastAsiaTheme="minorEastAsia" w:hAnsiTheme="minorEastAsia" w:cstheme="minorEastAsia" w:hint="eastAsia"/>
          <w:b/>
          <w:sz w:val="24"/>
          <w:szCs w:val="24"/>
        </w:rPr>
        <w:t>2.对本行年度报告的意见。</w:t>
      </w:r>
      <w:r>
        <w:rPr>
          <w:rFonts w:asciiTheme="minorEastAsia" w:eastAsiaTheme="minorEastAsia" w:hAnsiTheme="minorEastAsia" w:cstheme="minorEastAsia" w:hint="eastAsia"/>
          <w:sz w:val="24"/>
          <w:szCs w:val="24"/>
        </w:rPr>
        <w:t>经审阅本行2023年度报告，监事会认为：本行2023年度报告的编制和审核程序符合法律法规和监管规定，报告的内容真实、准确、完整地反映本行的实际情况。</w:t>
      </w:r>
      <w:bookmarkEnd w:id="1"/>
    </w:p>
    <w:p w:rsidR="008768CC" w:rsidRDefault="008768CC" w:rsidP="008768CC">
      <w:pPr>
        <w:adjustRightInd w:val="0"/>
        <w:snapToGrid w:val="0"/>
        <w:spacing w:line="500" w:lineRule="exact"/>
        <w:ind w:firstLineChars="0" w:firstLine="0"/>
        <w:outlineLvl w:val="1"/>
        <w:rPr>
          <w:rFonts w:asciiTheme="minorEastAsia" w:eastAsiaTheme="minorEastAsia" w:hAnsiTheme="minorEastAsia" w:cstheme="minorEastAsia"/>
          <w:sz w:val="24"/>
          <w:szCs w:val="24"/>
        </w:rPr>
      </w:pPr>
      <w:bookmarkStart w:id="2" w:name="_Toc164096024"/>
      <w:r>
        <w:rPr>
          <w:rFonts w:asciiTheme="minorEastAsia" w:eastAsiaTheme="minorEastAsia" w:hAnsiTheme="minorEastAsia" w:cstheme="minorEastAsia" w:hint="eastAsia"/>
          <w:b/>
          <w:sz w:val="24"/>
          <w:szCs w:val="24"/>
        </w:rPr>
        <w:t>3.对本行利润分配方案的意见。</w:t>
      </w:r>
      <w:r>
        <w:rPr>
          <w:rFonts w:asciiTheme="minorEastAsia" w:eastAsiaTheme="minorEastAsia" w:hAnsiTheme="minorEastAsia" w:cstheme="minorEastAsia" w:hint="eastAsia"/>
          <w:sz w:val="24"/>
          <w:szCs w:val="24"/>
        </w:rPr>
        <w:t>经审阅本行提交的《广东信宜农村商业银行股份有限公司2023年度利润分配方案》和《广东信宜农村商业银行股份有限公司2023年度股金分红方案》，监事会认为：本行2023年度利润分配方案和股金分红方案合理、合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，符合相关法律法规和本行实际情况。</w:t>
      </w:r>
      <w:bookmarkEnd w:id="2"/>
    </w:p>
    <w:p w:rsidR="008768CC" w:rsidRDefault="008768CC" w:rsidP="008768CC">
      <w:pPr>
        <w:adjustRightInd w:val="0"/>
        <w:snapToGrid w:val="0"/>
        <w:spacing w:line="500" w:lineRule="exact"/>
        <w:ind w:firstLineChars="0" w:firstLine="0"/>
        <w:outlineLvl w:val="1"/>
        <w:rPr>
          <w:rFonts w:asciiTheme="minorEastAsia" w:eastAsiaTheme="minorEastAsia" w:hAnsiTheme="minorEastAsia" w:cstheme="minorEastAsia"/>
          <w:sz w:val="24"/>
          <w:szCs w:val="24"/>
        </w:rPr>
      </w:pPr>
      <w:bookmarkStart w:id="3" w:name="_Toc164096025"/>
      <w:r>
        <w:rPr>
          <w:rFonts w:asciiTheme="minorEastAsia" w:eastAsiaTheme="minorEastAsia" w:hAnsiTheme="minorEastAsia" w:cstheme="minorEastAsia" w:hint="eastAsia"/>
          <w:b/>
          <w:sz w:val="24"/>
          <w:szCs w:val="24"/>
        </w:rPr>
        <w:lastRenderedPageBreak/>
        <w:t>4.对本行财务管理情况的意见。</w:t>
      </w:r>
      <w:r>
        <w:rPr>
          <w:rFonts w:asciiTheme="minorEastAsia" w:eastAsiaTheme="minorEastAsia" w:hAnsiTheme="minorEastAsia" w:cstheme="minorEastAsia" w:hint="eastAsia"/>
          <w:sz w:val="24"/>
          <w:szCs w:val="24"/>
        </w:rPr>
        <w:t>经审阅本行有关财务报表资料和对财务管理情况开展专项检查，监事会认为：2023年度本行财务制度较健全、内控制度较完善、财务运作较规范、财务状况良好，年度报告能够真实完整地反映本行的财务状况和经营成果，暂无发现虚假记载、误导陈述或者重大遗漏。</w:t>
      </w:r>
      <w:bookmarkEnd w:id="3"/>
    </w:p>
    <w:p w:rsidR="008768CC" w:rsidRDefault="008768CC" w:rsidP="008768CC">
      <w:pPr>
        <w:adjustRightInd w:val="0"/>
        <w:snapToGrid w:val="0"/>
        <w:spacing w:line="500" w:lineRule="exact"/>
        <w:ind w:firstLineChars="0" w:firstLine="0"/>
        <w:outlineLvl w:val="1"/>
        <w:rPr>
          <w:rFonts w:asciiTheme="minorEastAsia" w:eastAsiaTheme="minorEastAsia" w:hAnsiTheme="minorEastAsia" w:cstheme="minorEastAsia"/>
          <w:sz w:val="24"/>
          <w:szCs w:val="24"/>
        </w:rPr>
      </w:pPr>
      <w:bookmarkStart w:id="4" w:name="_Toc164096026"/>
      <w:r>
        <w:rPr>
          <w:rFonts w:asciiTheme="minorEastAsia" w:eastAsiaTheme="minorEastAsia" w:hAnsiTheme="minorEastAsia" w:cstheme="minorEastAsia" w:hint="eastAsia"/>
          <w:b/>
          <w:sz w:val="24"/>
          <w:szCs w:val="24"/>
        </w:rPr>
        <w:t>5.对会计师事务所《2023年度财务报表审计报告》的意见。</w:t>
      </w:r>
      <w:r>
        <w:rPr>
          <w:rFonts w:asciiTheme="minorEastAsia" w:eastAsiaTheme="minorEastAsia" w:hAnsiTheme="minorEastAsia" w:cstheme="minorEastAsia" w:hint="eastAsia"/>
          <w:sz w:val="24"/>
          <w:szCs w:val="24"/>
        </w:rPr>
        <w:t>经查阅广东岭南智华会计师事务所（特殊普通合伙）出具的《广东信宜农村商业银行股份有限公司2023年度财务报表审计报告》和财务相关资料，监事会认为：广东岭南智华会计师事务所（特殊普通合伙）对本行2023年度的财务报告进行了审计，并出具了无保留意见的审计报告，财务报告真实反映了本行财务状况、经营成果和现金流量。</w:t>
      </w:r>
      <w:bookmarkEnd w:id="4"/>
    </w:p>
    <w:p w:rsidR="008768CC" w:rsidRDefault="008768CC" w:rsidP="008768CC">
      <w:pPr>
        <w:adjustRightInd w:val="0"/>
        <w:snapToGrid w:val="0"/>
        <w:spacing w:line="500" w:lineRule="exact"/>
        <w:ind w:firstLineChars="0" w:firstLine="0"/>
        <w:outlineLvl w:val="1"/>
        <w:rPr>
          <w:rFonts w:asciiTheme="minorEastAsia" w:eastAsiaTheme="minorEastAsia" w:hAnsiTheme="minorEastAsia" w:cstheme="minorEastAsia"/>
          <w:sz w:val="24"/>
          <w:szCs w:val="24"/>
        </w:rPr>
      </w:pPr>
      <w:bookmarkStart w:id="5" w:name="_Toc164096027"/>
      <w:r>
        <w:rPr>
          <w:rFonts w:asciiTheme="minorEastAsia" w:eastAsiaTheme="minorEastAsia" w:hAnsiTheme="minorEastAsia" w:cstheme="minorEastAsia" w:hint="eastAsia"/>
          <w:b/>
          <w:sz w:val="24"/>
          <w:szCs w:val="24"/>
        </w:rPr>
        <w:t>6.对本行内部控制和全面风险管理情况的意见。</w:t>
      </w:r>
      <w:r>
        <w:rPr>
          <w:rFonts w:asciiTheme="minorEastAsia" w:eastAsiaTheme="minorEastAsia" w:hAnsiTheme="minorEastAsia" w:cstheme="minorEastAsia" w:hint="eastAsia"/>
          <w:sz w:val="24"/>
          <w:szCs w:val="24"/>
        </w:rPr>
        <w:t>经审阅《广东信宜农村商业银行股份有限公司2023年度内部控制评价报告》《广东信宜农村商业银行股份有限公司2023年度风险管理情况报告》和内部控制及全面风险管理等相关资料，监事会认为：本行已建立了较为完善的内部控制和全面风险管理体系，但报告期内发生一宗业内案件，内控制度执行力不够到位，员工风险意识较为薄弱，员工管理仍需加强，内部控制和风险管理能力有待进一步提升。</w:t>
      </w:r>
      <w:bookmarkEnd w:id="5"/>
    </w:p>
    <w:p w:rsidR="008768CC" w:rsidRDefault="008768CC" w:rsidP="008768CC">
      <w:pPr>
        <w:adjustRightInd w:val="0"/>
        <w:snapToGrid w:val="0"/>
        <w:spacing w:line="500" w:lineRule="exact"/>
        <w:ind w:firstLineChars="0" w:firstLine="0"/>
        <w:outlineLvl w:val="1"/>
        <w:rPr>
          <w:rFonts w:asciiTheme="minorEastAsia" w:eastAsiaTheme="minorEastAsia" w:hAnsiTheme="minorEastAsia" w:cstheme="minorEastAsia"/>
          <w:sz w:val="24"/>
          <w:szCs w:val="24"/>
        </w:rPr>
      </w:pPr>
      <w:bookmarkStart w:id="6" w:name="_Toc164096028"/>
      <w:r>
        <w:rPr>
          <w:rFonts w:asciiTheme="minorEastAsia" w:eastAsiaTheme="minorEastAsia" w:hAnsiTheme="minorEastAsia" w:cstheme="minorEastAsia" w:hint="eastAsia"/>
          <w:b/>
          <w:sz w:val="24"/>
          <w:szCs w:val="24"/>
        </w:rPr>
        <w:t>7.对本行流动性风险管理情况的意见。</w:t>
      </w:r>
      <w:r>
        <w:rPr>
          <w:rFonts w:asciiTheme="minorEastAsia" w:eastAsiaTheme="minorEastAsia" w:hAnsiTheme="minorEastAsia" w:cstheme="minorEastAsia" w:hint="eastAsia"/>
          <w:sz w:val="24"/>
          <w:szCs w:val="24"/>
        </w:rPr>
        <w:t>经审阅《广东信宜农村商业银行股份有限公司2023年流动性风险管理情况报告》和相关流动性风险管理等资料，监事会认为：本行董事会、高级管理层能较好地履行流动性风险管理及流动性压力测试管理职责，确保了本行2023年度流动性风险控制在有效范围内。</w:t>
      </w:r>
      <w:bookmarkEnd w:id="6"/>
    </w:p>
    <w:p w:rsidR="008768CC" w:rsidRDefault="008768CC" w:rsidP="008768CC">
      <w:pPr>
        <w:adjustRightInd w:val="0"/>
        <w:snapToGrid w:val="0"/>
        <w:spacing w:line="500" w:lineRule="exact"/>
        <w:ind w:firstLineChars="0" w:firstLine="0"/>
        <w:outlineLvl w:val="1"/>
        <w:rPr>
          <w:rFonts w:asciiTheme="minorEastAsia" w:eastAsiaTheme="minorEastAsia" w:hAnsiTheme="minorEastAsia" w:cstheme="minorEastAsia"/>
          <w:sz w:val="24"/>
          <w:szCs w:val="24"/>
        </w:rPr>
      </w:pPr>
      <w:bookmarkStart w:id="7" w:name="_Toc164096029"/>
      <w:r>
        <w:rPr>
          <w:rFonts w:asciiTheme="minorEastAsia" w:eastAsiaTheme="minorEastAsia" w:hAnsiTheme="minorEastAsia" w:cstheme="minorEastAsia" w:hint="eastAsia"/>
          <w:b/>
          <w:sz w:val="24"/>
          <w:szCs w:val="24"/>
        </w:rPr>
        <w:t>8.对本行资本管理情况的意见。</w:t>
      </w:r>
      <w:r>
        <w:rPr>
          <w:rFonts w:asciiTheme="minorEastAsia" w:eastAsiaTheme="minorEastAsia" w:hAnsiTheme="minorEastAsia" w:cstheme="minorEastAsia" w:hint="eastAsia"/>
          <w:sz w:val="24"/>
          <w:szCs w:val="24"/>
        </w:rPr>
        <w:t>经审阅《广东信宜农村商业银行股份有限公司2023年资本规划实施情况报告》和资本管理相关资料，监事会认为，本行董事会、高级管理层能较好地履行资本管理和资本计量高级方法管理职责，确保了本行2023年度各项资本监管指标保持持续达标。</w:t>
      </w:r>
      <w:bookmarkEnd w:id="7"/>
    </w:p>
    <w:p w:rsidR="008768CC" w:rsidRDefault="008768CC" w:rsidP="008768CC">
      <w:pPr>
        <w:adjustRightInd w:val="0"/>
        <w:snapToGrid w:val="0"/>
        <w:spacing w:line="500" w:lineRule="exact"/>
        <w:ind w:firstLineChars="0" w:firstLine="0"/>
        <w:outlineLvl w:val="1"/>
        <w:rPr>
          <w:rFonts w:asciiTheme="minorEastAsia" w:eastAsiaTheme="minorEastAsia" w:hAnsiTheme="minorEastAsia" w:cstheme="minorEastAsia"/>
          <w:sz w:val="24"/>
          <w:szCs w:val="24"/>
        </w:rPr>
      </w:pPr>
      <w:bookmarkStart w:id="8" w:name="_Toc164096030"/>
      <w:r>
        <w:rPr>
          <w:rFonts w:asciiTheme="minorEastAsia" w:eastAsiaTheme="minorEastAsia" w:hAnsiTheme="minorEastAsia" w:cstheme="minorEastAsia" w:hint="eastAsia"/>
          <w:b/>
          <w:sz w:val="24"/>
          <w:szCs w:val="24"/>
        </w:rPr>
        <w:t>9.对本行压力测试管理情况的意见。</w:t>
      </w:r>
      <w:r>
        <w:rPr>
          <w:rFonts w:asciiTheme="minorEastAsia" w:eastAsiaTheme="minorEastAsia" w:hAnsiTheme="minorEastAsia" w:cstheme="minorEastAsia" w:hint="eastAsia"/>
          <w:sz w:val="24"/>
          <w:szCs w:val="24"/>
        </w:rPr>
        <w:t>经审阅本行2023年压力测试开展情况报告和压力测试等相关资料，监事会认为，本行董事会、高级管理层能较好地履行压</w:t>
      </w:r>
      <w:r>
        <w:rPr>
          <w:rFonts w:asciiTheme="minorEastAsia" w:eastAsiaTheme="minorEastAsia" w:hAnsiTheme="minorEastAsia" w:cstheme="minorEastAsia" w:hint="eastAsia"/>
          <w:sz w:val="24"/>
          <w:szCs w:val="24"/>
        </w:rPr>
        <w:lastRenderedPageBreak/>
        <w:t>力测试管理职责，确保了本行2023年度各项流动性监管指标表现良好，资产负债结构匹配较为合理。</w:t>
      </w:r>
      <w:bookmarkEnd w:id="8"/>
    </w:p>
    <w:p w:rsidR="008768CC" w:rsidRDefault="008768CC" w:rsidP="008768CC">
      <w:pPr>
        <w:spacing w:line="500" w:lineRule="exact"/>
        <w:ind w:firstLineChars="0" w:firstLine="0"/>
        <w:outlineLvl w:val="1"/>
        <w:rPr>
          <w:rFonts w:asciiTheme="minorEastAsia" w:eastAsiaTheme="minorEastAsia" w:hAnsiTheme="minorEastAsia" w:cstheme="minorEastAsia"/>
          <w:sz w:val="24"/>
          <w:szCs w:val="24"/>
        </w:rPr>
      </w:pPr>
      <w:bookmarkStart w:id="9" w:name="_Toc164096031"/>
      <w:r>
        <w:rPr>
          <w:rFonts w:asciiTheme="minorEastAsia" w:eastAsiaTheme="minorEastAsia" w:hAnsiTheme="minorEastAsia" w:cstheme="minorEastAsia" w:hint="eastAsia"/>
          <w:b/>
          <w:sz w:val="24"/>
          <w:szCs w:val="24"/>
        </w:rPr>
        <w:t>10.对本行市场风险管理情况的意见。</w:t>
      </w:r>
      <w:r>
        <w:rPr>
          <w:rFonts w:asciiTheme="minorEastAsia" w:eastAsiaTheme="minorEastAsia" w:hAnsiTheme="minorEastAsia" w:cstheme="minorEastAsia" w:hint="eastAsia"/>
          <w:sz w:val="24"/>
          <w:szCs w:val="24"/>
        </w:rPr>
        <w:t>经审阅市场风险相关管理制度、相关议案及报告等资料，监事会认为：本行董事会、高级管理层能较好地履行市场风险管理职责，制定市场风险管理方面规章制度，构建完善市场风险管理体系，确保本行2023年度市场风险控制在有效范围内。</w:t>
      </w:r>
      <w:bookmarkEnd w:id="9"/>
    </w:p>
    <w:p w:rsidR="008768CC" w:rsidRDefault="008768CC" w:rsidP="008768CC">
      <w:pPr>
        <w:spacing w:line="50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11.对本行数据治理管理情况的意见。</w:t>
      </w:r>
      <w:r>
        <w:rPr>
          <w:rFonts w:asciiTheme="minorEastAsia" w:eastAsiaTheme="minorEastAsia" w:hAnsiTheme="minorEastAsia" w:cstheme="minorEastAsia" w:hint="eastAsia"/>
          <w:sz w:val="24"/>
          <w:szCs w:val="24"/>
        </w:rPr>
        <w:t>经审阅数据治理相关报告资料，监事会认为：本行董事会、高级管理层为提升数据质量方面做了大量的工作，组织架构、制度建设、数据报送存储和共享应用等要素建设较为完备，数据质量治理工作大体符合数据治理要求。但数据管理系统建设仍有待进一步完善，数据源质量仍有待提升。</w:t>
      </w:r>
    </w:p>
    <w:p w:rsidR="008768CC" w:rsidRDefault="008768CC" w:rsidP="008768CC">
      <w:pPr>
        <w:spacing w:line="50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12.对本行反洗钱管理情况的意见。</w:t>
      </w:r>
      <w:r>
        <w:rPr>
          <w:rFonts w:asciiTheme="minorEastAsia" w:eastAsiaTheme="minorEastAsia" w:hAnsiTheme="minorEastAsia" w:cstheme="minorEastAsia" w:hint="eastAsia"/>
          <w:sz w:val="24"/>
          <w:szCs w:val="24"/>
        </w:rPr>
        <w:t>经审阅反洗钱相关工作报告资料，监事会认为：本行董事会、高级管理层认真贯彻落实上级监管部门反洗</w:t>
      </w:r>
      <w:proofErr w:type="gramStart"/>
      <w:r>
        <w:rPr>
          <w:rFonts w:asciiTheme="minorEastAsia" w:eastAsiaTheme="minorEastAsia" w:hAnsiTheme="minorEastAsia" w:cstheme="minorEastAsia" w:hint="eastAsia"/>
          <w:sz w:val="24"/>
          <w:szCs w:val="24"/>
        </w:rPr>
        <w:t>钱工作</w:t>
      </w:r>
      <w:proofErr w:type="gramEnd"/>
      <w:r>
        <w:rPr>
          <w:rFonts w:asciiTheme="minorEastAsia" w:eastAsiaTheme="minorEastAsia" w:hAnsiTheme="minorEastAsia" w:cstheme="minorEastAsia" w:hint="eastAsia"/>
          <w:sz w:val="24"/>
          <w:szCs w:val="24"/>
        </w:rPr>
        <w:t>要求，加强反洗钱组织架构及规章制度建设，不断健全反洗钱管理体系。做好反洗</w:t>
      </w:r>
      <w:proofErr w:type="gramStart"/>
      <w:r>
        <w:rPr>
          <w:rFonts w:asciiTheme="minorEastAsia" w:eastAsiaTheme="minorEastAsia" w:hAnsiTheme="minorEastAsia" w:cstheme="minorEastAsia" w:hint="eastAsia"/>
          <w:sz w:val="24"/>
          <w:szCs w:val="24"/>
        </w:rPr>
        <w:t>钱客户</w:t>
      </w:r>
      <w:proofErr w:type="gramEnd"/>
      <w:r>
        <w:rPr>
          <w:rFonts w:asciiTheme="minorEastAsia" w:eastAsiaTheme="minorEastAsia" w:hAnsiTheme="minorEastAsia" w:cstheme="minorEastAsia" w:hint="eastAsia"/>
          <w:sz w:val="24"/>
          <w:szCs w:val="24"/>
        </w:rPr>
        <w:t>身份识别、大额和可疑交易排查、业务</w:t>
      </w:r>
      <w:r>
        <w:rPr>
          <w:rFonts w:asciiTheme="minorEastAsia" w:eastAsiaTheme="minorEastAsia" w:hAnsiTheme="minorEastAsia" w:cstheme="minorEastAsia" w:hint="eastAsia"/>
          <w:b/>
          <w:bCs/>
          <w:sz w:val="24"/>
          <w:szCs w:val="24"/>
        </w:rPr>
        <w:t>员</w:t>
      </w:r>
      <w:r>
        <w:rPr>
          <w:rFonts w:asciiTheme="minorEastAsia" w:eastAsiaTheme="minorEastAsia" w:hAnsiTheme="minorEastAsia" w:cstheme="minorEastAsia" w:hint="eastAsia"/>
          <w:sz w:val="24"/>
          <w:szCs w:val="24"/>
        </w:rPr>
        <w:t>培训和反洗</w:t>
      </w:r>
      <w:proofErr w:type="gramStart"/>
      <w:r>
        <w:rPr>
          <w:rFonts w:asciiTheme="minorEastAsia" w:eastAsiaTheme="minorEastAsia" w:hAnsiTheme="minorEastAsia" w:cstheme="minorEastAsia" w:hint="eastAsia"/>
          <w:sz w:val="24"/>
          <w:szCs w:val="24"/>
        </w:rPr>
        <w:t>钱知识</w:t>
      </w:r>
      <w:proofErr w:type="gramEnd"/>
      <w:r>
        <w:rPr>
          <w:rFonts w:asciiTheme="minorEastAsia" w:eastAsiaTheme="minorEastAsia" w:hAnsiTheme="minorEastAsia" w:cstheme="minorEastAsia" w:hint="eastAsia"/>
          <w:sz w:val="24"/>
          <w:szCs w:val="24"/>
        </w:rPr>
        <w:t>宣传等工作。2023年，本行没有发生反洗</w:t>
      </w:r>
      <w:proofErr w:type="gramStart"/>
      <w:r>
        <w:rPr>
          <w:rFonts w:asciiTheme="minorEastAsia" w:eastAsiaTheme="minorEastAsia" w:hAnsiTheme="minorEastAsia" w:cstheme="minorEastAsia" w:hint="eastAsia"/>
          <w:sz w:val="24"/>
          <w:szCs w:val="24"/>
        </w:rPr>
        <w:t>钱信息</w:t>
      </w:r>
      <w:proofErr w:type="gramEnd"/>
      <w:r>
        <w:rPr>
          <w:rFonts w:asciiTheme="minorEastAsia" w:eastAsiaTheme="minorEastAsia" w:hAnsiTheme="minorEastAsia" w:cstheme="minorEastAsia" w:hint="eastAsia"/>
          <w:sz w:val="24"/>
          <w:szCs w:val="24"/>
        </w:rPr>
        <w:t>泄密，没有出现由于未履行反洗钱职责而导致发生的洗钱案件，没有发生内部人员的洗钱案件。但仍存在一些困难和不足，如可疑交易监测指标精准性、可疑交易线索甄别能力有待提高等。</w:t>
      </w:r>
    </w:p>
    <w:p w:rsidR="008768CC" w:rsidRDefault="008768CC" w:rsidP="008768CC">
      <w:pPr>
        <w:adjustRightInd w:val="0"/>
        <w:snapToGrid w:val="0"/>
        <w:spacing w:line="50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13.对本行关联交易情况的意见。</w:t>
      </w:r>
      <w:r>
        <w:rPr>
          <w:rFonts w:asciiTheme="minorEastAsia" w:eastAsiaTheme="minorEastAsia" w:hAnsiTheme="minorEastAsia" w:cstheme="minorEastAsia" w:hint="eastAsia"/>
          <w:sz w:val="24"/>
          <w:szCs w:val="24"/>
        </w:rPr>
        <w:t>经审议本行重大关联交易事项，并对关联交易报告材料进行审核监督，监事会认为：本行发生的关联交易的决策程序符合有关法律、法规及本行章程的规定，没有违反公开、公平、公正的原则，无发现存在损害本行及股东利益的行为。</w:t>
      </w:r>
    </w:p>
    <w:p w:rsidR="008768CC" w:rsidRDefault="008768CC" w:rsidP="008768CC">
      <w:pPr>
        <w:shd w:val="clear" w:color="auto" w:fill="FFFFFF"/>
        <w:spacing w:line="500" w:lineRule="exact"/>
        <w:ind w:firstLineChars="0" w:firstLine="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14.对股东大会决议执行情况的意见。</w:t>
      </w:r>
      <w:r>
        <w:rPr>
          <w:rFonts w:asciiTheme="minorEastAsia" w:eastAsiaTheme="minorEastAsia" w:hAnsiTheme="minorEastAsia" w:cstheme="minorEastAsia" w:hint="eastAsia"/>
          <w:sz w:val="24"/>
          <w:szCs w:val="24"/>
        </w:rPr>
        <w:t>经对股东大会决议的执行情况进行监督，监事会认为：董事会认真执行了股东大会的有关决议。</w:t>
      </w:r>
    </w:p>
    <w:p w:rsidR="008768CC" w:rsidRDefault="008768CC" w:rsidP="008768CC">
      <w:pPr>
        <w:spacing w:line="500" w:lineRule="exact"/>
        <w:ind w:firstLineChars="0" w:firstLine="0"/>
        <w:rPr>
          <w:rFonts w:asciiTheme="minorEastAsia" w:eastAsiaTheme="minorEastAsia" w:hAnsiTheme="minorEastAsia" w:cstheme="minorEastAsia"/>
          <w:color w:val="000000" w:themeColor="text1"/>
          <w:spacing w:val="8"/>
          <w:sz w:val="24"/>
          <w:szCs w:val="24"/>
          <w:shd w:val="clear" w:color="auto" w:fill="FFFFFF"/>
        </w:rPr>
      </w:pPr>
      <w:r>
        <w:rPr>
          <w:rFonts w:asciiTheme="minorEastAsia" w:eastAsiaTheme="minorEastAsia" w:hAnsiTheme="minorEastAsia" w:cstheme="minorEastAsia" w:hint="eastAsia"/>
          <w:b/>
          <w:sz w:val="24"/>
          <w:szCs w:val="24"/>
        </w:rPr>
        <w:t>15.对本行声誉风险管理情况的意见。</w:t>
      </w:r>
      <w:r>
        <w:rPr>
          <w:rFonts w:asciiTheme="minorEastAsia" w:eastAsiaTheme="minorEastAsia" w:hAnsiTheme="minorEastAsia" w:cstheme="minorEastAsia" w:hint="eastAsia"/>
          <w:sz w:val="24"/>
          <w:szCs w:val="24"/>
        </w:rPr>
        <w:t>经审阅声誉风险管理相关工作报告资料，监事会认为：本行董事会、高级管理层强化党建引领，认真按照要求围绕风险防范、风险监测、风险处置和危机应对等方面开展声誉风险管理工作，</w:t>
      </w:r>
      <w:r>
        <w:rPr>
          <w:rFonts w:asciiTheme="minorEastAsia" w:eastAsiaTheme="minorEastAsia" w:hAnsiTheme="minorEastAsia" w:cstheme="minorEastAsia" w:hint="eastAsia"/>
          <w:spacing w:val="-4"/>
          <w:sz w:val="24"/>
          <w:szCs w:val="24"/>
        </w:rPr>
        <w:t>报告期内没</w:t>
      </w:r>
      <w:r>
        <w:rPr>
          <w:rFonts w:asciiTheme="minorEastAsia" w:eastAsiaTheme="minorEastAsia" w:hAnsiTheme="minorEastAsia" w:cstheme="minorEastAsia" w:hint="eastAsia"/>
          <w:spacing w:val="-4"/>
          <w:sz w:val="24"/>
          <w:szCs w:val="24"/>
        </w:rPr>
        <w:lastRenderedPageBreak/>
        <w:t>有</w:t>
      </w:r>
      <w:r>
        <w:rPr>
          <w:rFonts w:asciiTheme="minorEastAsia" w:eastAsiaTheme="minorEastAsia" w:hAnsiTheme="minorEastAsia" w:cstheme="minorEastAsia" w:hint="eastAsia"/>
          <w:sz w:val="24"/>
          <w:szCs w:val="24"/>
        </w:rPr>
        <w:t>发生行内、行外及网络负面声誉风险事件</w:t>
      </w:r>
      <w:r>
        <w:rPr>
          <w:rFonts w:asciiTheme="minorEastAsia" w:eastAsiaTheme="minorEastAsia" w:hAnsiTheme="minorEastAsia" w:cstheme="minorEastAsia" w:hint="eastAsia"/>
          <w:spacing w:val="-4"/>
          <w:sz w:val="24"/>
          <w:szCs w:val="24"/>
        </w:rPr>
        <w:t>。</w:t>
      </w:r>
      <w:r>
        <w:rPr>
          <w:rFonts w:asciiTheme="minorEastAsia" w:eastAsiaTheme="minorEastAsia" w:hAnsiTheme="minorEastAsia" w:cstheme="minorEastAsia" w:hint="eastAsia"/>
          <w:sz w:val="24"/>
          <w:szCs w:val="24"/>
        </w:rPr>
        <w:t>但存在部分员工对声誉风险认识不足，风险监测和预警体系不够完善等问题，声誉风险管理能力仍需持续提升。</w:t>
      </w:r>
    </w:p>
    <w:p w:rsidR="008768CC" w:rsidRDefault="008768CC" w:rsidP="008768CC">
      <w:pPr>
        <w:shd w:val="clear" w:color="auto" w:fill="FFFFFF"/>
        <w:adjustRightInd w:val="0"/>
        <w:snapToGrid w:val="0"/>
        <w:spacing w:line="500" w:lineRule="exact"/>
        <w:ind w:firstLineChars="0" w:firstLine="0"/>
        <w:jc w:val="left"/>
        <w:outlineLvl w:val="1"/>
        <w:rPr>
          <w:rFonts w:asciiTheme="minorEastAsia" w:eastAsiaTheme="minorEastAsia" w:hAnsiTheme="minorEastAsia" w:cstheme="minorEastAsia"/>
          <w:b/>
          <w:sz w:val="24"/>
          <w:szCs w:val="24"/>
        </w:rPr>
      </w:pPr>
      <w:bookmarkStart w:id="10" w:name="_Toc164096032"/>
      <w:r>
        <w:rPr>
          <w:rFonts w:asciiTheme="minorEastAsia" w:eastAsiaTheme="minorEastAsia" w:hAnsiTheme="minorEastAsia" w:cstheme="minorEastAsia" w:hint="eastAsia"/>
          <w:b/>
          <w:sz w:val="24"/>
          <w:szCs w:val="24"/>
        </w:rPr>
        <w:t>16.对本行资产质量状况和不良资产责任追究情况的意见</w:t>
      </w:r>
      <w:bookmarkEnd w:id="10"/>
    </w:p>
    <w:p w:rsidR="008768CC" w:rsidRDefault="008768CC" w:rsidP="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sz w:val="24"/>
          <w:szCs w:val="24"/>
        </w:rPr>
        <w:t>（1）资产质量状况。</w:t>
      </w:r>
      <w:r>
        <w:rPr>
          <w:rFonts w:asciiTheme="minorEastAsia" w:eastAsiaTheme="minorEastAsia" w:hAnsiTheme="minorEastAsia" w:cstheme="minorEastAsia" w:hint="eastAsia"/>
          <w:sz w:val="24"/>
          <w:szCs w:val="24"/>
        </w:rPr>
        <w:t>2023年末，</w:t>
      </w:r>
      <w:r>
        <w:rPr>
          <w:rFonts w:asciiTheme="minorEastAsia" w:eastAsiaTheme="minorEastAsia" w:hAnsiTheme="minorEastAsia" w:cstheme="minorEastAsia" w:hint="eastAsia"/>
          <w:bCs/>
          <w:sz w:val="24"/>
          <w:szCs w:val="24"/>
        </w:rPr>
        <w:t>本行</w:t>
      </w:r>
      <w:r>
        <w:rPr>
          <w:rFonts w:asciiTheme="minorEastAsia" w:eastAsiaTheme="minorEastAsia" w:hAnsiTheme="minorEastAsia" w:cstheme="minorEastAsia" w:hint="eastAsia"/>
          <w:bCs/>
          <w:kern w:val="0"/>
          <w:sz w:val="24"/>
          <w:szCs w:val="24"/>
        </w:rPr>
        <w:t>各项</w:t>
      </w:r>
      <w:r>
        <w:rPr>
          <w:rFonts w:asciiTheme="minorEastAsia" w:eastAsiaTheme="minorEastAsia" w:hAnsiTheme="minorEastAsia" w:cstheme="minorEastAsia" w:hint="eastAsia"/>
          <w:kern w:val="0"/>
          <w:sz w:val="24"/>
          <w:szCs w:val="24"/>
        </w:rPr>
        <w:t>贷款余额1,370,750.24万元，其中正常类1,297,936.87万元，关注类61,187.97万元，次级类6,360.38万元，可疑类4,948.74万元，损失类316.29万元。不良贷款余额11,625.41万元，比年初减少386.31万元，降幅3.22%；不良贷款占比0.85%，比年初下降0.04个百分点；拨备覆盖率318.87%，比年初上升29.11个百分点；拨贷比2.7%，比年初上升0.13个百分点；流动性比例74.19%，比年初上升21.39个百分点。</w:t>
      </w:r>
    </w:p>
    <w:p w:rsidR="008768CC" w:rsidRDefault="008768CC" w:rsidP="008768CC">
      <w:pPr>
        <w:shd w:val="clear" w:color="auto" w:fill="FFFFFF"/>
        <w:spacing w:line="500" w:lineRule="exact"/>
        <w:ind w:firstLineChars="0" w:firstLine="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sz w:val="24"/>
          <w:szCs w:val="24"/>
        </w:rPr>
        <w:t>（2）不良资产责任追究情况。</w:t>
      </w:r>
      <w:r>
        <w:rPr>
          <w:rFonts w:asciiTheme="minorEastAsia" w:eastAsiaTheme="minorEastAsia" w:hAnsiTheme="minorEastAsia" w:cstheme="minorEastAsia" w:hint="eastAsia"/>
          <w:kern w:val="0"/>
          <w:sz w:val="24"/>
          <w:szCs w:val="24"/>
          <w:shd w:val="clear" w:color="auto" w:fill="FFFFFF"/>
        </w:rPr>
        <w:t>2023年末，本行应启动不良贷款责任认定</w:t>
      </w:r>
      <w:proofErr w:type="gramStart"/>
      <w:r>
        <w:rPr>
          <w:rFonts w:asciiTheme="minorEastAsia" w:eastAsiaTheme="minorEastAsia" w:hAnsiTheme="minorEastAsia" w:cstheme="minorEastAsia" w:hint="eastAsia"/>
          <w:kern w:val="0"/>
          <w:sz w:val="24"/>
          <w:szCs w:val="24"/>
          <w:shd w:val="clear" w:color="auto" w:fill="FFFFFF"/>
        </w:rPr>
        <w:t>追究总</w:t>
      </w:r>
      <w:proofErr w:type="gramEnd"/>
      <w:r>
        <w:rPr>
          <w:rFonts w:asciiTheme="minorEastAsia" w:eastAsiaTheme="minorEastAsia" w:hAnsiTheme="minorEastAsia" w:cstheme="minorEastAsia" w:hint="eastAsia"/>
          <w:kern w:val="0"/>
          <w:sz w:val="24"/>
          <w:szCs w:val="24"/>
          <w:shd w:val="clear" w:color="auto" w:fill="FFFFFF"/>
        </w:rPr>
        <w:t>户数1053户1,416笔，总金额41,599.57万元。已完成责任认定及追究处理工作280户575笔，金额2,526.25万元。其中责任追究7户8笔，金额1,977.70万元；尽职免责273户567笔、金额548.55万元。已启动而未完成责任认定追究773户841笔，金额39,073.32万元。其中已完成了对644户702笔、金额35,073.29万元的调查工作，相关资料已提交不良资产责任追究小组进行会议审议，目前正在走流程中。依据《广东信宜农村商业银行股份有限公司不良资产责任追究管理办法（2018年版）》（信农商银发〔2018〕450号）的规定，经本行不良资产责任追究小组审议通过，对相关岗位责任人进行责任认定及追究。其中对涉及贷款问题的相关责任人责任追究37人46人次；给予尽职免责975人2953人次。</w:t>
      </w:r>
    </w:p>
    <w:p w:rsidR="008768CC" w:rsidRDefault="008768CC" w:rsidP="008768CC">
      <w:pPr>
        <w:shd w:val="clear" w:color="auto" w:fill="FFFFFF"/>
        <w:spacing w:line="500" w:lineRule="exact"/>
        <w:ind w:firstLineChars="0" w:firstLine="0"/>
        <w:jc w:val="left"/>
        <w:rPr>
          <w:rFonts w:asciiTheme="minorEastAsia" w:eastAsiaTheme="minorEastAsia" w:hAnsiTheme="minorEastAsia" w:cstheme="minorEastAsia"/>
          <w:kern w:val="0"/>
          <w:sz w:val="24"/>
          <w:szCs w:val="24"/>
          <w:shd w:val="clear" w:color="auto" w:fill="FFFFFF"/>
        </w:rPr>
      </w:pPr>
      <w:r>
        <w:rPr>
          <w:rFonts w:asciiTheme="minorEastAsia" w:eastAsiaTheme="minorEastAsia" w:hAnsiTheme="minorEastAsia" w:cstheme="minorEastAsia" w:hint="eastAsia"/>
          <w:kern w:val="0"/>
          <w:sz w:val="24"/>
          <w:szCs w:val="24"/>
          <w:shd w:val="clear" w:color="auto" w:fill="FFFFFF"/>
        </w:rPr>
        <w:t>监事会认为：2023年，本行资产质量状况良好；对不良资产责任认定基本符合《广东农信系统普惠金融授信业务尽职免责工作指引（2022年版）》和《广东信宜农村商业银行股份有限公司不良资产责任追究管理办法（2018年版）》的有关规定，但存在不良贷款责任认定和责任追究工作进度缓慢，工作有待进一步加强。</w:t>
      </w:r>
    </w:p>
    <w:p w:rsidR="008768CC" w:rsidRDefault="008768CC" w:rsidP="008768CC">
      <w:pPr>
        <w:widowControl w:val="0"/>
        <w:tabs>
          <w:tab w:val="left" w:pos="476"/>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15.重要事项</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15.1增加或减少注册资本、分立合并事项</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报告期内，本行未发生需披露增加或减少注册资本、分立合并事项。</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15.2</w:t>
      </w:r>
      <w:r>
        <w:rPr>
          <w:rFonts w:asciiTheme="minorEastAsia" w:eastAsiaTheme="minorEastAsia" w:hAnsiTheme="minorEastAsia" w:hint="eastAsia"/>
          <w:b/>
          <w:sz w:val="24"/>
          <w:szCs w:val="24"/>
        </w:rPr>
        <w:t>聘用、解聘会计师事务所情况</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根据本行</w:t>
      </w:r>
      <w:r>
        <w:rPr>
          <w:rFonts w:asciiTheme="minorEastAsia" w:eastAsiaTheme="minorEastAsia" w:hAnsiTheme="minorEastAsia"/>
          <w:sz w:val="24"/>
          <w:szCs w:val="24"/>
        </w:rPr>
        <w:t>202</w:t>
      </w:r>
      <w:r>
        <w:rPr>
          <w:rFonts w:asciiTheme="minorEastAsia" w:eastAsiaTheme="minorEastAsia" w:hAnsiTheme="minorEastAsia" w:hint="eastAsia"/>
          <w:sz w:val="24"/>
          <w:szCs w:val="24"/>
        </w:rPr>
        <w:t>3年第二次临时股东大会决议，本行聘用广东岭南智华会计师事务所（特殊普通合伙）承办本行</w:t>
      </w:r>
      <w:r>
        <w:rPr>
          <w:rFonts w:asciiTheme="minorEastAsia" w:eastAsiaTheme="minorEastAsia" w:hAnsiTheme="minorEastAsia"/>
          <w:sz w:val="24"/>
          <w:szCs w:val="24"/>
        </w:rPr>
        <w:t>202</w:t>
      </w:r>
      <w:r>
        <w:rPr>
          <w:rFonts w:asciiTheme="minorEastAsia" w:eastAsiaTheme="minorEastAsia" w:hAnsiTheme="minorEastAsia" w:hint="eastAsia"/>
          <w:sz w:val="24"/>
          <w:szCs w:val="24"/>
        </w:rPr>
        <w:t>3年度审计工作。</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15.3重大诉讼、仲裁事项</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报告期内，本行未发生需要披露的对本行具有重大影响的诉讼、仲裁事项。</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p>
    <w:p w:rsidR="008768CC" w:rsidRDefault="008768CC" w:rsidP="008768CC">
      <w:pPr>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r>
        <w:rPr>
          <w:rFonts w:asciiTheme="minorEastAsia" w:eastAsiaTheme="minorEastAsia" w:hAnsiTheme="minorEastAsia" w:hint="eastAsia"/>
          <w:b/>
          <w:sz w:val="24"/>
          <w:szCs w:val="24"/>
        </w:rPr>
        <w:lastRenderedPageBreak/>
        <w:t>16.企业社会责任</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报告期内，本行始终将企业与社会的共同发展实践于行，围绕政府经济发展思路，</w:t>
      </w:r>
      <w:proofErr w:type="gramStart"/>
      <w:r>
        <w:rPr>
          <w:rFonts w:asciiTheme="minorEastAsia" w:eastAsiaTheme="minorEastAsia" w:hAnsiTheme="minorEastAsia" w:hint="eastAsia"/>
          <w:sz w:val="24"/>
          <w:szCs w:val="24"/>
        </w:rPr>
        <w:t>践行</w:t>
      </w:r>
      <w:proofErr w:type="gramEnd"/>
      <w:r>
        <w:rPr>
          <w:rFonts w:asciiTheme="minorEastAsia" w:eastAsiaTheme="minorEastAsia" w:hAnsiTheme="minorEastAsia" w:hint="eastAsia"/>
          <w:sz w:val="24"/>
          <w:szCs w:val="24"/>
        </w:rPr>
        <w:t>勤劳金融，推进农村金融（普惠）户户通，支持乡村振兴发展战略，服务经济社会，并积极投身社会公益文化事业，在支持三农、小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发展、扶贫帮困、绿色金融、公益活动等方面积极履行社会责任，以实际行动回归社会、服务社会。</w:t>
      </w:r>
    </w:p>
    <w:p w:rsidR="008768CC" w:rsidRDefault="008768CC" w:rsidP="008768CC">
      <w:pPr>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（1）社会发展责任</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2023年，本行坚持主动融入全市经济社会发展大局，坚持服务实体经济为本，扎实推进各项措施落地生效。全行涉农贷款余额89.78亿元、比年初增加2.33亿元，小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贷款余额54.49亿元、比年初增加2.66亿元，为信宜的“三农”经济和小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源源不断地注入了“金融活水”，充分发挥了地方金融主力军作用；认真落实延期还本付息、</w:t>
      </w:r>
      <w:proofErr w:type="gramStart"/>
      <w:r>
        <w:rPr>
          <w:rFonts w:asciiTheme="minorEastAsia" w:eastAsiaTheme="minorEastAsia" w:hAnsiTheme="minorEastAsia" w:hint="eastAsia"/>
          <w:sz w:val="24"/>
          <w:szCs w:val="24"/>
        </w:rPr>
        <w:t>首贷贴息</w:t>
      </w:r>
      <w:proofErr w:type="gramEnd"/>
      <w:r>
        <w:rPr>
          <w:rFonts w:asciiTheme="minorEastAsia" w:eastAsiaTheme="minorEastAsia" w:hAnsiTheme="minorEastAsia" w:hint="eastAsia"/>
          <w:sz w:val="24"/>
          <w:szCs w:val="24"/>
        </w:rPr>
        <w:t>等政策，发放支农、支小再贷款11,065万元、10,156万元，惠及132个市场主体，真正</w:t>
      </w:r>
      <w:proofErr w:type="gramStart"/>
      <w:r>
        <w:rPr>
          <w:rFonts w:asciiTheme="minorEastAsia" w:eastAsiaTheme="minorEastAsia" w:hAnsiTheme="minorEastAsia" w:hint="eastAsia"/>
          <w:sz w:val="24"/>
          <w:szCs w:val="24"/>
        </w:rPr>
        <w:t>践行</w:t>
      </w:r>
      <w:proofErr w:type="gramEnd"/>
      <w:r>
        <w:rPr>
          <w:rFonts w:asciiTheme="minorEastAsia" w:eastAsiaTheme="minorEastAsia" w:hAnsiTheme="minorEastAsia" w:hint="eastAsia"/>
          <w:sz w:val="24"/>
          <w:szCs w:val="24"/>
        </w:rPr>
        <w:t>了本土银行的责任与担当。</w:t>
      </w:r>
    </w:p>
    <w:p w:rsidR="008768CC" w:rsidRDefault="008768CC" w:rsidP="008768CC">
      <w:pPr>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（2）客户和消费者权益保护</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①机构制度建设情况。</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本行在董事会下设消费者权益保护委员会，合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与风险管理部为金融消费者权益保护专责部门，明确职责。明确具体联络员并报国家金融监督管理总局茂名监管分局、茂名市金融消费者权益保护联合会备案。</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②服务义务履行情况。</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本行认真履行金融产品告知、服务和信息保护义务。</w:t>
      </w:r>
      <w:r>
        <w:rPr>
          <w:rFonts w:asciiTheme="minorEastAsia" w:eastAsiaTheme="minorEastAsia" w:hAnsiTheme="minorEastAsia"/>
          <w:sz w:val="24"/>
          <w:szCs w:val="24"/>
        </w:rPr>
        <w:t>20</w:t>
      </w:r>
      <w:r>
        <w:rPr>
          <w:rFonts w:asciiTheme="minorEastAsia" w:eastAsiaTheme="minorEastAsia" w:hAnsiTheme="minorEastAsia" w:hint="eastAsia"/>
          <w:sz w:val="24"/>
          <w:szCs w:val="24"/>
        </w:rPr>
        <w:t>23</w:t>
      </w:r>
      <w:r>
        <w:rPr>
          <w:rFonts w:asciiTheme="minorEastAsia" w:eastAsiaTheme="minorEastAsia" w:hAnsiTheme="minorEastAsia"/>
          <w:sz w:val="24"/>
          <w:szCs w:val="24"/>
        </w:rPr>
        <w:t>年，</w:t>
      </w:r>
      <w:r>
        <w:rPr>
          <w:rFonts w:asciiTheme="minorEastAsia" w:eastAsiaTheme="minorEastAsia" w:hAnsiTheme="minorEastAsia" w:hint="eastAsia"/>
          <w:sz w:val="24"/>
          <w:szCs w:val="24"/>
        </w:rPr>
        <w:t>本行</w:t>
      </w:r>
      <w:r>
        <w:rPr>
          <w:rFonts w:asciiTheme="minorEastAsia" w:eastAsiaTheme="minorEastAsia" w:hAnsiTheme="minorEastAsia"/>
          <w:sz w:val="24"/>
          <w:szCs w:val="24"/>
        </w:rPr>
        <w:t>代销他行理财产品，全部由客户亲自签署办理，没有销售人员代客户签署文件等现象，产品说明书载明资金投向、资产组合、市场风险分析、风险评级等，并在醒目位置载明“理财非存款、产品有风险、投资须谨慎”字样，明确披露产品发行人及代理手续费等信息，年内没有引起客户的不满和投诉。</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③依法依规处理各种投诉。</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本行贯彻落实“以人民为中心”的发展思想，对标监管部门、省联社等相关规定，以“改进服务质量、减少客户投诉、维护公平环境、提升公众素质、赢得社会尊重”为工作目标，有序开展</w:t>
      </w:r>
      <w:proofErr w:type="gramStart"/>
      <w:r>
        <w:rPr>
          <w:rFonts w:asciiTheme="minorEastAsia" w:eastAsiaTheme="minorEastAsia" w:hAnsiTheme="minorEastAsia" w:hint="eastAsia"/>
          <w:sz w:val="24"/>
          <w:szCs w:val="24"/>
        </w:rPr>
        <w:t>消保各项</w:t>
      </w:r>
      <w:proofErr w:type="gramEnd"/>
      <w:r>
        <w:rPr>
          <w:rFonts w:asciiTheme="minorEastAsia" w:eastAsiaTheme="minorEastAsia" w:hAnsiTheme="minorEastAsia" w:hint="eastAsia"/>
          <w:sz w:val="24"/>
          <w:szCs w:val="24"/>
        </w:rPr>
        <w:t>工作。本行在每个营业网点醒目位置公布投</w:t>
      </w:r>
      <w:r>
        <w:rPr>
          <w:rFonts w:asciiTheme="minorEastAsia" w:eastAsiaTheme="minorEastAsia" w:hAnsiTheme="minorEastAsia" w:hint="eastAsia"/>
          <w:sz w:val="24"/>
          <w:szCs w:val="24"/>
        </w:rPr>
        <w:lastRenderedPageBreak/>
        <w:t>诉电话且电话保持畅通，同时设置意见箱等方便投诉受理。年内共受理客户投诉</w:t>
      </w:r>
      <w:r>
        <w:rPr>
          <w:rFonts w:asciiTheme="minorEastAsia" w:eastAsiaTheme="minorEastAsia" w:hAnsiTheme="minorEastAsia"/>
          <w:sz w:val="24"/>
          <w:szCs w:val="24"/>
        </w:rPr>
        <w:t>74宗，全部按规定办结。按投诉原因分类,按消费者投诉原因分类：因机构管理制度、业务规则与流程引起的投诉35件，占投诉总量的4</w:t>
      </w:r>
      <w:r>
        <w:rPr>
          <w:rFonts w:asciiTheme="minorEastAsia" w:eastAsiaTheme="minorEastAsia" w:hAnsiTheme="minorEastAsia" w:hint="eastAsia"/>
          <w:sz w:val="24"/>
          <w:szCs w:val="24"/>
        </w:rPr>
        <w:t>7.3</w:t>
      </w:r>
      <w:r>
        <w:rPr>
          <w:rFonts w:asciiTheme="minorEastAsia" w:eastAsiaTheme="minorEastAsia" w:hAnsiTheme="minorEastAsia"/>
          <w:sz w:val="24"/>
          <w:szCs w:val="24"/>
        </w:rPr>
        <w:t>%；因服务态度及服务质量引起的投诉21件，占投诉总量的28</w:t>
      </w:r>
      <w:r>
        <w:rPr>
          <w:rFonts w:asciiTheme="minorEastAsia" w:eastAsiaTheme="minorEastAsia" w:hAnsiTheme="minorEastAsia" w:hint="eastAsia"/>
          <w:sz w:val="24"/>
          <w:szCs w:val="24"/>
        </w:rPr>
        <w:t>.38</w:t>
      </w:r>
      <w:r>
        <w:rPr>
          <w:rFonts w:asciiTheme="minorEastAsia" w:eastAsiaTheme="minorEastAsia" w:hAnsiTheme="minorEastAsia"/>
          <w:sz w:val="24"/>
          <w:szCs w:val="24"/>
        </w:rPr>
        <w:t>%；因信息披露引起的投诉起的投诉1件，占投诉总</w:t>
      </w:r>
      <w:r>
        <w:rPr>
          <w:rFonts w:asciiTheme="minorEastAsia" w:eastAsiaTheme="minorEastAsia" w:hAnsiTheme="minorEastAsia" w:hint="eastAsia"/>
          <w:sz w:val="24"/>
          <w:szCs w:val="24"/>
        </w:rPr>
        <w:t>量的</w:t>
      </w:r>
      <w:r>
        <w:rPr>
          <w:rFonts w:asciiTheme="minorEastAsia" w:eastAsiaTheme="minorEastAsia" w:hAnsiTheme="minorEastAsia"/>
          <w:sz w:val="24"/>
          <w:szCs w:val="24"/>
        </w:rPr>
        <w:t>1</w:t>
      </w:r>
      <w:r>
        <w:rPr>
          <w:rFonts w:asciiTheme="minorEastAsia" w:eastAsiaTheme="minorEastAsia" w:hAnsiTheme="minorEastAsia" w:hint="eastAsia"/>
          <w:sz w:val="24"/>
          <w:szCs w:val="24"/>
        </w:rPr>
        <w:t>.35</w:t>
      </w:r>
      <w:r>
        <w:rPr>
          <w:rFonts w:asciiTheme="minorEastAsia" w:eastAsiaTheme="minorEastAsia" w:hAnsiTheme="minorEastAsia"/>
          <w:sz w:val="24"/>
          <w:szCs w:val="24"/>
        </w:rPr>
        <w:t>%；因机构服务设施、设备、业务系统引起的投诉5件，占投诉总量的</w:t>
      </w:r>
      <w:r>
        <w:rPr>
          <w:rFonts w:asciiTheme="minorEastAsia" w:eastAsiaTheme="minorEastAsia" w:hAnsiTheme="minorEastAsia" w:hint="eastAsia"/>
          <w:sz w:val="24"/>
          <w:szCs w:val="24"/>
        </w:rPr>
        <w:t>6.76</w:t>
      </w:r>
      <w:r>
        <w:rPr>
          <w:rFonts w:asciiTheme="minorEastAsia" w:eastAsiaTheme="minorEastAsia" w:hAnsiTheme="minorEastAsia"/>
          <w:sz w:val="24"/>
          <w:szCs w:val="24"/>
        </w:rPr>
        <w:t>%；因定价收费引起的投诉1件，占投诉总量的1</w:t>
      </w:r>
      <w:r>
        <w:rPr>
          <w:rFonts w:asciiTheme="minorEastAsia" w:eastAsiaTheme="minorEastAsia" w:hAnsiTheme="minorEastAsia" w:hint="eastAsia"/>
          <w:sz w:val="24"/>
          <w:szCs w:val="24"/>
        </w:rPr>
        <w:t>.35</w:t>
      </w:r>
      <w:r>
        <w:rPr>
          <w:rFonts w:asciiTheme="minorEastAsia" w:eastAsiaTheme="minorEastAsia" w:hAnsiTheme="minorEastAsia"/>
          <w:sz w:val="24"/>
          <w:szCs w:val="24"/>
        </w:rPr>
        <w:t>%；因自主选择</w:t>
      </w:r>
      <w:proofErr w:type="gramStart"/>
      <w:r>
        <w:rPr>
          <w:rFonts w:asciiTheme="minorEastAsia" w:eastAsiaTheme="minorEastAsia" w:hAnsiTheme="minorEastAsia"/>
          <w:sz w:val="24"/>
          <w:szCs w:val="24"/>
        </w:rPr>
        <w:t>权引起</w:t>
      </w:r>
      <w:proofErr w:type="gramEnd"/>
      <w:r>
        <w:rPr>
          <w:rFonts w:asciiTheme="minorEastAsia" w:eastAsiaTheme="minorEastAsia" w:hAnsiTheme="minorEastAsia"/>
          <w:sz w:val="24"/>
          <w:szCs w:val="24"/>
        </w:rPr>
        <w:t>的投诉1件，占投诉总量的1</w:t>
      </w:r>
      <w:r>
        <w:rPr>
          <w:rFonts w:asciiTheme="minorEastAsia" w:eastAsiaTheme="minorEastAsia" w:hAnsiTheme="minorEastAsia" w:hint="eastAsia"/>
          <w:sz w:val="24"/>
          <w:szCs w:val="24"/>
        </w:rPr>
        <w:t>.35</w:t>
      </w:r>
      <w:r>
        <w:rPr>
          <w:rFonts w:asciiTheme="minorEastAsia" w:eastAsiaTheme="minorEastAsia" w:hAnsiTheme="minorEastAsia"/>
          <w:sz w:val="24"/>
          <w:szCs w:val="24"/>
        </w:rPr>
        <w:t>%；因债务催收方式和手段引起的投诉10件，占投诉总量的1</w:t>
      </w:r>
      <w:r>
        <w:rPr>
          <w:rFonts w:asciiTheme="minorEastAsia" w:eastAsiaTheme="minorEastAsia" w:hAnsiTheme="minorEastAsia" w:hint="eastAsia"/>
          <w:sz w:val="24"/>
          <w:szCs w:val="24"/>
        </w:rPr>
        <w:t>3.51</w:t>
      </w:r>
      <w:r>
        <w:rPr>
          <w:rFonts w:asciiTheme="minorEastAsia" w:eastAsiaTheme="minorEastAsia" w:hAnsiTheme="minorEastAsia"/>
          <w:sz w:val="24"/>
          <w:szCs w:val="24"/>
        </w:rPr>
        <w:t>%。</w:t>
      </w:r>
      <w:r>
        <w:rPr>
          <w:rFonts w:asciiTheme="minorEastAsia" w:eastAsiaTheme="minorEastAsia" w:hAnsiTheme="minorEastAsia" w:hint="eastAsia"/>
          <w:sz w:val="24"/>
          <w:szCs w:val="24"/>
        </w:rPr>
        <w:t>按消费者投诉业务办理渠道分类：营业现场40件，占比54.05%；电子渠道1件，占比1.35%;自助机具4件，占比5.41%；中、后台业务渠道29件，占比39.19%。按消费者投诉业务类别分类：贷款类18件，占投诉总量的24.33%;银行卡类32件，占投诉总量的43.25%;人民币储蓄类10件，占投诉总量的13.51%;支付结算类7件，占投诉总量的9.46%;人民币管理类2件，占投诉总量的2.7%；银行代理业务类2件，占投诉总量的2.7%；个人信息类1件，占投诉总量的1.35%;债务催收类1件，占投诉总量的1.35%;其他类1件，占投诉总量的1.35%。按地区分布划分：市区44件，占投诉总量的59.46%；乡镇30件，占投诉总量的40.54%。</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④宣传教育情况。</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一是本行各营业网点摆放宣传展板、资料，设置咨询、并由临柜业务员和大堂经理结合业务指引宣传教育；二是本行</w:t>
      </w:r>
      <w:r>
        <w:rPr>
          <w:rFonts w:asciiTheme="minorEastAsia" w:eastAsiaTheme="minorEastAsia" w:hAnsiTheme="minorEastAsia"/>
          <w:sz w:val="24"/>
          <w:szCs w:val="24"/>
        </w:rPr>
        <w:t>2023年先后组织开展了3.15消费者权益保护日、打击电信诈骗、金融知识万里行活动、存款保险、反洗钱、扫黒除恶、非法集资宣传教育等户外宣传教育活动11场，累计发放资料40000多份，接受群众咨询3000多人次；三是利用本行</w:t>
      </w:r>
      <w:proofErr w:type="gramStart"/>
      <w:r>
        <w:rPr>
          <w:rFonts w:asciiTheme="minorEastAsia" w:eastAsiaTheme="minorEastAsia" w:hAnsiTheme="minorEastAsia"/>
          <w:sz w:val="24"/>
          <w:szCs w:val="24"/>
        </w:rPr>
        <w:t>微信公众号</w:t>
      </w:r>
      <w:proofErr w:type="gramEnd"/>
      <w:r>
        <w:rPr>
          <w:rFonts w:asciiTheme="minorEastAsia" w:eastAsiaTheme="minorEastAsia" w:hAnsiTheme="minorEastAsia"/>
          <w:sz w:val="24"/>
          <w:szCs w:val="24"/>
        </w:rPr>
        <w:t>推送共32篇金融知识及消费者权益保护有关的普及教育推文，取得较好成效；</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⑤重大事项及重要事件。</w:t>
      </w:r>
    </w:p>
    <w:p w:rsidR="008768CC" w:rsidRDefault="008768CC" w:rsidP="008768CC">
      <w:pPr>
        <w:snapToGrid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一是本行</w:t>
      </w:r>
      <w:r>
        <w:rPr>
          <w:rFonts w:asciiTheme="minorEastAsia" w:eastAsiaTheme="minorEastAsia" w:hAnsiTheme="minorEastAsia"/>
          <w:sz w:val="24"/>
          <w:szCs w:val="24"/>
        </w:rPr>
        <w:t>2023年3月23被人行广州分行评为2022年广东省移动支付示范镇建设先进单位；二是</w:t>
      </w:r>
      <w:r>
        <w:rPr>
          <w:rFonts w:asciiTheme="minorEastAsia" w:eastAsiaTheme="minorEastAsia" w:hAnsiTheme="minorEastAsia" w:hint="eastAsia"/>
          <w:sz w:val="24"/>
          <w:szCs w:val="24"/>
        </w:rPr>
        <w:t>本行</w:t>
      </w:r>
      <w:r>
        <w:rPr>
          <w:rFonts w:asciiTheme="minorEastAsia" w:eastAsiaTheme="minorEastAsia" w:hAnsiTheme="minorEastAsia"/>
          <w:sz w:val="24"/>
          <w:szCs w:val="24"/>
        </w:rPr>
        <w:t>2023年5月22日被人行茂名中支评为2022年金融消费者保护评估A等级；三是2023年11月20日被茂名银行保险业清廉金融文化建</w:t>
      </w:r>
      <w:r>
        <w:rPr>
          <w:rFonts w:asciiTheme="minorEastAsia" w:eastAsiaTheme="minorEastAsia" w:hAnsiTheme="minorEastAsia"/>
          <w:sz w:val="24"/>
          <w:szCs w:val="24"/>
        </w:rPr>
        <w:lastRenderedPageBreak/>
        <w:t>设联合组委会办公室发出的表扬信；四是2023年12月7是</w:t>
      </w:r>
      <w:r>
        <w:rPr>
          <w:rFonts w:asciiTheme="minorEastAsia" w:eastAsiaTheme="minorEastAsia" w:hAnsiTheme="minorEastAsia" w:hint="eastAsia"/>
          <w:sz w:val="24"/>
          <w:szCs w:val="24"/>
        </w:rPr>
        <w:t>本行</w:t>
      </w:r>
      <w:r>
        <w:rPr>
          <w:rFonts w:asciiTheme="minorEastAsia" w:eastAsiaTheme="minorEastAsia" w:hAnsiTheme="minorEastAsia"/>
          <w:sz w:val="24"/>
          <w:szCs w:val="24"/>
        </w:rPr>
        <w:t>被国家金融监督管理总局茂名监管分局评为2023年“金融消费者权益保护教育宣传月”先进单位；</w:t>
      </w:r>
      <w:r>
        <w:rPr>
          <w:rFonts w:asciiTheme="minorEastAsia" w:eastAsiaTheme="minorEastAsia" w:hAnsiTheme="minorEastAsia" w:hint="eastAsia"/>
          <w:sz w:val="24"/>
          <w:szCs w:val="24"/>
        </w:rPr>
        <w:t>五是开展投诉综合治理工作，制订客户投诉管理制度，完善疑难投诉提级处理、积案化解、多元化纠纷调解机制等制度规定，积极采取有效措施，切实维护金融消费者合法权益；六</w:t>
      </w:r>
      <w:r>
        <w:rPr>
          <w:rFonts w:asciiTheme="minorEastAsia" w:eastAsiaTheme="minorEastAsia" w:hAnsiTheme="minorEastAsia"/>
          <w:sz w:val="24"/>
          <w:szCs w:val="24"/>
        </w:rPr>
        <w:t>是2023年1月13日</w:t>
      </w:r>
      <w:r>
        <w:rPr>
          <w:rFonts w:asciiTheme="minorEastAsia" w:eastAsiaTheme="minorEastAsia" w:hAnsiTheme="minorEastAsia" w:hint="eastAsia"/>
          <w:sz w:val="24"/>
          <w:szCs w:val="24"/>
        </w:rPr>
        <w:t>本行</w:t>
      </w:r>
      <w:proofErr w:type="gramStart"/>
      <w:r>
        <w:rPr>
          <w:rFonts w:asciiTheme="minorEastAsia" w:eastAsiaTheme="minorEastAsia" w:hAnsiTheme="minorEastAsia"/>
          <w:sz w:val="24"/>
          <w:szCs w:val="24"/>
        </w:rPr>
        <w:t>员工赖晴被</w:t>
      </w:r>
      <w:proofErr w:type="gramEnd"/>
      <w:r>
        <w:rPr>
          <w:rFonts w:asciiTheme="minorEastAsia" w:eastAsiaTheme="minorEastAsia" w:hAnsiTheme="minorEastAsia"/>
          <w:sz w:val="24"/>
          <w:szCs w:val="24"/>
        </w:rPr>
        <w:t>省联社评为优秀客</w:t>
      </w:r>
      <w:proofErr w:type="gramStart"/>
      <w:r>
        <w:rPr>
          <w:rFonts w:asciiTheme="minorEastAsia" w:eastAsiaTheme="minorEastAsia" w:hAnsiTheme="minorEastAsia"/>
          <w:sz w:val="24"/>
          <w:szCs w:val="24"/>
        </w:rPr>
        <w:t>服协调</w:t>
      </w:r>
      <w:proofErr w:type="gramEnd"/>
      <w:r>
        <w:rPr>
          <w:rFonts w:asciiTheme="minorEastAsia" w:eastAsiaTheme="minorEastAsia" w:hAnsiTheme="minorEastAsia"/>
          <w:sz w:val="24"/>
          <w:szCs w:val="24"/>
        </w:rPr>
        <w:t>员</w:t>
      </w:r>
      <w:r>
        <w:rPr>
          <w:rFonts w:asciiTheme="minorEastAsia" w:eastAsiaTheme="minorEastAsia" w:hAnsiTheme="minorEastAsia" w:hint="eastAsia"/>
          <w:sz w:val="24"/>
          <w:szCs w:val="24"/>
        </w:rPr>
        <w:t>。</w:t>
      </w:r>
    </w:p>
    <w:p w:rsidR="008768CC" w:rsidRDefault="008768CC" w:rsidP="008768CC">
      <w:pPr>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（3）社会公益事业</w:t>
      </w:r>
    </w:p>
    <w:p w:rsidR="008768CC" w:rsidRDefault="008768CC" w:rsidP="008768CC">
      <w:pPr>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本行一直以来坚持“源于社会，回报社会”的宗旨，积极履行社会责任，回馈社会。一是制定切实措施助力地方经济发展，</w:t>
      </w:r>
      <w:r>
        <w:rPr>
          <w:rFonts w:asciiTheme="minorEastAsia" w:eastAsiaTheme="minorEastAsia" w:hAnsiTheme="minorEastAsia"/>
          <w:sz w:val="24"/>
          <w:szCs w:val="24"/>
        </w:rPr>
        <w:t>截至202</w:t>
      </w:r>
      <w:r>
        <w:rPr>
          <w:rFonts w:asciiTheme="minorEastAsia" w:eastAsiaTheme="minorEastAsia" w:hAnsiTheme="minorEastAsia" w:hint="eastAsia"/>
          <w:sz w:val="24"/>
          <w:szCs w:val="24"/>
        </w:rPr>
        <w:t>3</w:t>
      </w:r>
      <w:r>
        <w:rPr>
          <w:rFonts w:asciiTheme="minorEastAsia" w:eastAsiaTheme="minorEastAsia" w:hAnsiTheme="minorEastAsia"/>
          <w:sz w:val="24"/>
          <w:szCs w:val="24"/>
        </w:rPr>
        <w:t>年末，涉农贷款余额</w:t>
      </w:r>
      <w:r>
        <w:rPr>
          <w:rFonts w:asciiTheme="minorEastAsia" w:eastAsiaTheme="minorEastAsia" w:hAnsiTheme="minorEastAsia" w:hint="eastAsia"/>
          <w:sz w:val="24"/>
          <w:szCs w:val="24"/>
        </w:rPr>
        <w:t>89.78</w:t>
      </w:r>
      <w:r>
        <w:rPr>
          <w:rFonts w:asciiTheme="minorEastAsia" w:eastAsiaTheme="minorEastAsia" w:hAnsiTheme="minorEastAsia"/>
          <w:sz w:val="24"/>
          <w:szCs w:val="24"/>
        </w:rPr>
        <w:t>亿元，比年初增加</w:t>
      </w:r>
      <w:r>
        <w:rPr>
          <w:rFonts w:asciiTheme="minorEastAsia" w:eastAsiaTheme="minorEastAsia" w:hAnsiTheme="minorEastAsia" w:hint="eastAsia"/>
          <w:sz w:val="24"/>
          <w:szCs w:val="24"/>
        </w:rPr>
        <w:t>2.33</w:t>
      </w:r>
      <w:r>
        <w:rPr>
          <w:rFonts w:asciiTheme="minorEastAsia" w:eastAsiaTheme="minorEastAsia" w:hAnsiTheme="minorEastAsia"/>
          <w:sz w:val="24"/>
          <w:szCs w:val="24"/>
        </w:rPr>
        <w:t>亿元;合计延期还本付息金额本金</w:t>
      </w:r>
      <w:r>
        <w:rPr>
          <w:rFonts w:asciiTheme="minorEastAsia" w:eastAsiaTheme="minorEastAsia" w:hAnsiTheme="minorEastAsia" w:hint="eastAsia"/>
          <w:sz w:val="24"/>
          <w:szCs w:val="24"/>
        </w:rPr>
        <w:t>4.61</w:t>
      </w:r>
      <w:r>
        <w:rPr>
          <w:rFonts w:asciiTheme="minorEastAsia" w:eastAsiaTheme="minorEastAsia" w:hAnsiTheme="minorEastAsia"/>
          <w:sz w:val="24"/>
          <w:szCs w:val="24"/>
        </w:rPr>
        <w:t>亿元，有效缓解了市场主体暂时的资金困难;</w:t>
      </w:r>
      <w:r>
        <w:rPr>
          <w:rFonts w:asciiTheme="minorEastAsia" w:eastAsiaTheme="minorEastAsia" w:hAnsiTheme="minorEastAsia" w:hint="eastAsia"/>
          <w:sz w:val="24"/>
          <w:szCs w:val="24"/>
        </w:rPr>
        <w:t>全年</w:t>
      </w:r>
      <w:r>
        <w:rPr>
          <w:rFonts w:asciiTheme="minorEastAsia" w:eastAsiaTheme="minorEastAsia" w:hAnsiTheme="minorEastAsia"/>
          <w:sz w:val="24"/>
          <w:szCs w:val="24"/>
        </w:rPr>
        <w:t>为市场主体减费让利0.3</w:t>
      </w:r>
      <w:r>
        <w:rPr>
          <w:rFonts w:asciiTheme="minorEastAsia" w:eastAsiaTheme="minorEastAsia" w:hAnsiTheme="minorEastAsia" w:hint="eastAsia"/>
          <w:sz w:val="24"/>
          <w:szCs w:val="24"/>
        </w:rPr>
        <w:t>4</w:t>
      </w:r>
      <w:r>
        <w:rPr>
          <w:rFonts w:asciiTheme="minorEastAsia" w:eastAsiaTheme="minorEastAsia" w:hAnsiTheme="minorEastAsia"/>
          <w:sz w:val="24"/>
          <w:szCs w:val="24"/>
        </w:rPr>
        <w:t>亿元，彰显了“地方金融长子”的责任担当。</w:t>
      </w:r>
      <w:r>
        <w:rPr>
          <w:rFonts w:asciiTheme="minorEastAsia" w:eastAsiaTheme="minorEastAsia" w:hAnsiTheme="minorEastAsia" w:hint="eastAsia"/>
          <w:sz w:val="24"/>
          <w:szCs w:val="24"/>
        </w:rPr>
        <w:t>二是</w:t>
      </w:r>
      <w:r>
        <w:rPr>
          <w:rFonts w:asciiTheme="minorEastAsia" w:eastAsiaTheme="minorEastAsia" w:hAnsiTheme="minorEastAsia"/>
          <w:sz w:val="24"/>
          <w:szCs w:val="24"/>
        </w:rPr>
        <w:t>以担当履责为己任，力促企业形象提升。积极参与植树造林、人居环境整治、630扶贫日捐款、献血等社会公益活动。根据信宜市委、市政府关于实施“百县千镇万村高质量发展工程”的工作部署，组织开展扶贫济困</w:t>
      </w:r>
      <w:proofErr w:type="gramStart"/>
      <w:r>
        <w:rPr>
          <w:rFonts w:asciiTheme="minorEastAsia" w:eastAsiaTheme="minorEastAsia" w:hAnsiTheme="minorEastAsia"/>
          <w:sz w:val="24"/>
          <w:szCs w:val="24"/>
        </w:rPr>
        <w:t>日捐款</w:t>
      </w:r>
      <w:proofErr w:type="gramEnd"/>
      <w:r>
        <w:rPr>
          <w:rFonts w:asciiTheme="minorEastAsia" w:eastAsiaTheme="minorEastAsia" w:hAnsiTheme="minorEastAsia"/>
          <w:sz w:val="24"/>
          <w:szCs w:val="24"/>
        </w:rPr>
        <w:t>活动，广大干部职工纷纷奉献爱心，捐款2.3万元支持巩固脱贫成果。</w:t>
      </w:r>
      <w:r>
        <w:rPr>
          <w:rFonts w:asciiTheme="minorEastAsia" w:eastAsiaTheme="minorEastAsia" w:hAnsiTheme="minorEastAsia" w:hint="eastAsia"/>
          <w:sz w:val="24"/>
          <w:szCs w:val="24"/>
        </w:rPr>
        <w:t>三</w:t>
      </w:r>
      <w:r>
        <w:rPr>
          <w:rFonts w:asciiTheme="minorEastAsia" w:eastAsiaTheme="minorEastAsia" w:hAnsiTheme="minorEastAsia"/>
          <w:sz w:val="24"/>
          <w:szCs w:val="24"/>
        </w:rPr>
        <w:t>是创建省级工会爱心驿站，</w:t>
      </w:r>
      <w:r>
        <w:rPr>
          <w:rFonts w:asciiTheme="minorEastAsia" w:eastAsiaTheme="minorEastAsia" w:hAnsiTheme="minorEastAsia" w:hint="eastAsia"/>
          <w:sz w:val="24"/>
          <w:szCs w:val="24"/>
        </w:rPr>
        <w:t>本行</w:t>
      </w:r>
      <w:r>
        <w:rPr>
          <w:rFonts w:asciiTheme="minorEastAsia" w:eastAsiaTheme="minorEastAsia" w:hAnsiTheme="minorEastAsia"/>
          <w:sz w:val="24"/>
          <w:szCs w:val="24"/>
        </w:rPr>
        <w:t>教育城分理处率先创建省级工会爱心驿站，成功通过广东省总工会的验收，展现出强烈的社会责任感。</w:t>
      </w:r>
      <w:r>
        <w:rPr>
          <w:rFonts w:asciiTheme="minorEastAsia" w:eastAsiaTheme="minorEastAsia" w:hAnsiTheme="minorEastAsia" w:hint="eastAsia"/>
          <w:sz w:val="24"/>
          <w:szCs w:val="24"/>
        </w:rPr>
        <w:t>四</w:t>
      </w:r>
      <w:r>
        <w:rPr>
          <w:rFonts w:asciiTheme="minorEastAsia" w:eastAsiaTheme="minorEastAsia" w:hAnsiTheme="minorEastAsia"/>
          <w:sz w:val="24"/>
          <w:szCs w:val="24"/>
        </w:rPr>
        <w:t>是支持社会公共事业发展。捐赠0.51万元支持白石镇大寨村“美丽乡村</w:t>
      </w:r>
      <w:r>
        <w:rPr>
          <w:rFonts w:asciiTheme="minorEastAsia" w:eastAsiaTheme="minorEastAsia" w:hAnsiTheme="minorEastAsia" w:hint="eastAsia"/>
          <w:sz w:val="24"/>
          <w:szCs w:val="24"/>
        </w:rPr>
        <w:t>建设”购置石凳；出资支持池洞镇龙舟队、信宜市金融龙舟队各</w:t>
      </w:r>
      <w:r>
        <w:rPr>
          <w:rFonts w:asciiTheme="minorEastAsia" w:eastAsiaTheme="minorEastAsia" w:hAnsiTheme="minorEastAsia"/>
          <w:sz w:val="24"/>
          <w:szCs w:val="24"/>
        </w:rPr>
        <w:t>0.5万元、3万元参与信宜市龙舟赛；捐款1万元支持丁堡镇“奖教奖学”助学活动；出资1万元支持镇隆镇创卫活动；捐赠1万元帮扶茶山镇“支持乡村振兴”项目发展；慰问消防官兵、茂名新时代好少年，合计慰问金0.6834万元。</w:t>
      </w:r>
      <w:r>
        <w:rPr>
          <w:rFonts w:asciiTheme="minorEastAsia" w:eastAsiaTheme="minorEastAsia" w:hAnsiTheme="minorEastAsia" w:hint="eastAsia"/>
          <w:sz w:val="24"/>
          <w:szCs w:val="24"/>
        </w:rPr>
        <w:t>五</w:t>
      </w:r>
      <w:r>
        <w:rPr>
          <w:rFonts w:asciiTheme="minorEastAsia" w:eastAsiaTheme="minorEastAsia" w:hAnsiTheme="minorEastAsia"/>
          <w:sz w:val="24"/>
          <w:szCs w:val="24"/>
        </w:rPr>
        <w:t>是加强普惠金融宣传教育。开展了个人征信、反洗钱、网络支付、防范电信诈骗、警惕非法集资、移动支付等基础金融知识宣传。全年除通过网络宣传、营业网点LED</w:t>
      </w:r>
      <w:proofErr w:type="gramStart"/>
      <w:r>
        <w:rPr>
          <w:rFonts w:asciiTheme="minorEastAsia" w:eastAsiaTheme="minorEastAsia" w:hAnsiTheme="minorEastAsia"/>
          <w:sz w:val="24"/>
          <w:szCs w:val="24"/>
        </w:rPr>
        <w:t>屏统一</w:t>
      </w:r>
      <w:proofErr w:type="gramEnd"/>
      <w:r>
        <w:rPr>
          <w:rFonts w:asciiTheme="minorEastAsia" w:eastAsiaTheme="minorEastAsia" w:hAnsiTheme="minorEastAsia"/>
          <w:sz w:val="24"/>
          <w:szCs w:val="24"/>
        </w:rPr>
        <w:t>滚动播放宣传标语、摆放宣传资料、现场解答等常规宣传外，还开展户外宣传活动23场次。</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br w:type="page"/>
      </w:r>
      <w:r>
        <w:rPr>
          <w:rFonts w:asciiTheme="minorEastAsia" w:eastAsiaTheme="minorEastAsia" w:hAnsiTheme="minorEastAsia" w:hint="eastAsia"/>
          <w:b/>
          <w:sz w:val="24"/>
          <w:szCs w:val="24"/>
        </w:rPr>
        <w:lastRenderedPageBreak/>
        <w:t>17.2023年度“三农</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金融服务报告</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2023年，本行始终坚守支持实体经济发展、服务“三农”的市场定位,坚持“快捷灵活、普惠金融”的价值理念，秉承“扎根基层、服务三农”的服务宗旨，贯彻落实国家宏观政策和各项监管要求，加强普惠金融战略规划和体制机制配套，积极引导结构调整，加大小微企业、涉农信贷投放，扎实推进“三农”金融和服务乡村振兴各项工作，积极履行社会责任，深化民生金融服务。</w:t>
      </w:r>
    </w:p>
    <w:p w:rsidR="008768CC" w:rsidRDefault="008768CC" w:rsidP="008768CC">
      <w:pPr>
        <w:widowControl w:val="0"/>
        <w:spacing w:line="500" w:lineRule="exact"/>
        <w:ind w:firstLineChars="0" w:firstLine="0"/>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sz w:val="24"/>
          <w:szCs w:val="24"/>
        </w:rPr>
        <w:t>（1）2023年“三农”金融服务基本情况</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截至2023年12月末，本行各项存款余额245.23亿元，比年初增加5.99亿元，增幅2.5%；各项贷款余额137.08亿元，比年初增加1.96亿元，增幅1.45%；涉农贷款余额为89.78亿元，比年初增加2.33亿元，小</w:t>
      </w:r>
      <w:proofErr w:type="gramStart"/>
      <w:r>
        <w:rPr>
          <w:rFonts w:asciiTheme="minorEastAsia" w:eastAsiaTheme="minorEastAsia" w:hAnsiTheme="minorEastAsia" w:cs="仿宋_GB2312" w:hint="eastAsia"/>
          <w:sz w:val="24"/>
          <w:szCs w:val="24"/>
        </w:rPr>
        <w:t>微企业</w:t>
      </w:r>
      <w:proofErr w:type="gramEnd"/>
      <w:r>
        <w:rPr>
          <w:rFonts w:asciiTheme="minorEastAsia" w:eastAsiaTheme="minorEastAsia" w:hAnsiTheme="minorEastAsia" w:cs="仿宋_GB2312" w:hint="eastAsia"/>
          <w:sz w:val="24"/>
          <w:szCs w:val="24"/>
        </w:rPr>
        <w:t>贷款余额为54.49亿元，比年初增加2.66亿，涉农及小</w:t>
      </w:r>
      <w:proofErr w:type="gramStart"/>
      <w:r>
        <w:rPr>
          <w:rFonts w:asciiTheme="minorEastAsia" w:eastAsiaTheme="minorEastAsia" w:hAnsiTheme="minorEastAsia" w:cs="仿宋_GB2312" w:hint="eastAsia"/>
          <w:sz w:val="24"/>
          <w:szCs w:val="24"/>
        </w:rPr>
        <w:t>微企业</w:t>
      </w:r>
      <w:proofErr w:type="gramEnd"/>
      <w:r>
        <w:rPr>
          <w:rFonts w:asciiTheme="minorEastAsia" w:eastAsiaTheme="minorEastAsia" w:hAnsiTheme="minorEastAsia" w:cs="仿宋_GB2312" w:hint="eastAsia"/>
          <w:sz w:val="24"/>
          <w:szCs w:val="24"/>
        </w:rPr>
        <w:t>贷款占比82.14%，保持在80%以上；当年累计投放涉农贷款14025户，合计金额41.44亿元。本行履行“地方金融长子”责任担当，为信宜市实施乡村振兴战略提供强有力的金融支撑，取得较好的成果，有效彰显了本行强烈的社会责任感和良好的社会形象，赢得了当地党政和群众的高度赞誉。</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b/>
          <w:bCs/>
          <w:sz w:val="24"/>
          <w:szCs w:val="24"/>
        </w:rPr>
        <w:t>（2）提升“三农”金融服务的主要措施</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①以推进农村金融（普惠）户户</w:t>
      </w:r>
      <w:proofErr w:type="gramStart"/>
      <w:r>
        <w:rPr>
          <w:rFonts w:asciiTheme="minorEastAsia" w:eastAsiaTheme="minorEastAsia" w:hAnsiTheme="minorEastAsia" w:cs="仿宋_GB2312" w:hint="eastAsia"/>
          <w:sz w:val="24"/>
          <w:szCs w:val="24"/>
        </w:rPr>
        <w:t>通工程</w:t>
      </w:r>
      <w:proofErr w:type="gramEnd"/>
      <w:r>
        <w:rPr>
          <w:rFonts w:asciiTheme="minorEastAsia" w:eastAsiaTheme="minorEastAsia" w:hAnsiTheme="minorEastAsia" w:cs="仿宋_GB2312" w:hint="eastAsia"/>
          <w:sz w:val="24"/>
          <w:szCs w:val="24"/>
        </w:rPr>
        <w:t>为契机，全面提升三</w:t>
      </w:r>
      <w:proofErr w:type="gramStart"/>
      <w:r>
        <w:rPr>
          <w:rFonts w:asciiTheme="minorEastAsia" w:eastAsiaTheme="minorEastAsia" w:hAnsiTheme="minorEastAsia" w:cs="仿宋_GB2312" w:hint="eastAsia"/>
          <w:sz w:val="24"/>
          <w:szCs w:val="24"/>
        </w:rPr>
        <w:t>农服务质</w:t>
      </w:r>
      <w:proofErr w:type="gramEnd"/>
      <w:r>
        <w:rPr>
          <w:rFonts w:asciiTheme="minorEastAsia" w:eastAsiaTheme="minorEastAsia" w:hAnsiTheme="minorEastAsia" w:cs="仿宋_GB2312" w:hint="eastAsia"/>
          <w:sz w:val="24"/>
          <w:szCs w:val="24"/>
        </w:rPr>
        <w:t>效</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proofErr w:type="gramStart"/>
      <w:r>
        <w:rPr>
          <w:rFonts w:asciiTheme="minorEastAsia" w:eastAsiaTheme="minorEastAsia" w:hAnsiTheme="minorEastAsia" w:cs="仿宋_GB2312" w:hint="eastAsia"/>
          <w:sz w:val="24"/>
          <w:szCs w:val="24"/>
        </w:rPr>
        <w:t>A.“</w:t>
      </w:r>
      <w:proofErr w:type="gramEnd"/>
      <w:r>
        <w:rPr>
          <w:rFonts w:asciiTheme="minorEastAsia" w:eastAsiaTheme="minorEastAsia" w:hAnsiTheme="minorEastAsia" w:cs="仿宋_GB2312" w:hint="eastAsia"/>
          <w:sz w:val="24"/>
          <w:szCs w:val="24"/>
        </w:rPr>
        <w:t>五个一</w:t>
      </w:r>
      <w:proofErr w:type="gramStart"/>
      <w:r>
        <w:rPr>
          <w:rFonts w:asciiTheme="minorEastAsia" w:eastAsiaTheme="minorEastAsia" w:hAnsiTheme="minorEastAsia" w:cs="仿宋_GB2312" w:hint="eastAsia"/>
          <w:sz w:val="24"/>
          <w:szCs w:val="24"/>
        </w:rPr>
        <w:t>”</w:t>
      </w:r>
      <w:proofErr w:type="gramEnd"/>
      <w:r>
        <w:rPr>
          <w:rFonts w:asciiTheme="minorEastAsia" w:eastAsiaTheme="minorEastAsia" w:hAnsiTheme="minorEastAsia" w:cs="仿宋_GB2312" w:hint="eastAsia"/>
          <w:sz w:val="24"/>
          <w:szCs w:val="24"/>
        </w:rPr>
        <w:t>工程深入推进农村金融服务全覆盖</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截至2023年12月末，本行“一支部”，党建共建数422个，覆盖率100%。“一体机”，</w:t>
      </w:r>
      <w:proofErr w:type="gramStart"/>
      <w:r>
        <w:rPr>
          <w:rFonts w:asciiTheme="minorEastAsia" w:eastAsiaTheme="minorEastAsia" w:hAnsiTheme="minorEastAsia" w:cs="仿宋_GB2312" w:hint="eastAsia"/>
          <w:sz w:val="24"/>
          <w:szCs w:val="24"/>
        </w:rPr>
        <w:t>粤智助实际</w:t>
      </w:r>
      <w:proofErr w:type="gramEnd"/>
      <w:r>
        <w:rPr>
          <w:rFonts w:asciiTheme="minorEastAsia" w:eastAsiaTheme="minorEastAsia" w:hAnsiTheme="minorEastAsia" w:cs="仿宋_GB2312" w:hint="eastAsia"/>
          <w:sz w:val="24"/>
          <w:szCs w:val="24"/>
        </w:rPr>
        <w:t>投放数424台，覆盖率100%。“一特派”，金融特派员派驻人数8331名（行内特派员159名，外聘特派员8172名），派驻村居数为402个，覆盖率为100%，客户经理数198名，占比25.42%。“一平台”，辖内镇（街）、行政村（居）、村民小组数10177个，三资平台开立账户数7574个，覆盖率74.42%。</w:t>
      </w:r>
      <w:proofErr w:type="gramStart"/>
      <w:r>
        <w:rPr>
          <w:rFonts w:asciiTheme="minorEastAsia" w:eastAsiaTheme="minorEastAsia" w:hAnsiTheme="minorEastAsia" w:cs="仿宋_GB2312" w:hint="eastAsia"/>
          <w:sz w:val="24"/>
          <w:szCs w:val="24"/>
        </w:rPr>
        <w:t>一</w:t>
      </w:r>
      <w:proofErr w:type="gramEnd"/>
      <w:r>
        <w:rPr>
          <w:rFonts w:asciiTheme="minorEastAsia" w:eastAsiaTheme="minorEastAsia" w:hAnsiTheme="minorEastAsia" w:cs="仿宋_GB2312" w:hint="eastAsia"/>
          <w:sz w:val="24"/>
          <w:szCs w:val="24"/>
        </w:rPr>
        <w:t>授信</w:t>
      </w:r>
      <w:proofErr w:type="gramStart"/>
      <w:r>
        <w:rPr>
          <w:rFonts w:asciiTheme="minorEastAsia" w:eastAsiaTheme="minorEastAsia" w:hAnsiTheme="minorEastAsia" w:cs="仿宋_GB2312" w:hint="eastAsia"/>
          <w:sz w:val="24"/>
          <w:szCs w:val="24"/>
        </w:rPr>
        <w:t>”</w:t>
      </w:r>
      <w:proofErr w:type="gramEnd"/>
      <w:r>
        <w:rPr>
          <w:rFonts w:asciiTheme="minorEastAsia" w:eastAsiaTheme="minorEastAsia" w:hAnsiTheme="minorEastAsia" w:cs="仿宋_GB2312" w:hint="eastAsia"/>
          <w:sz w:val="24"/>
          <w:szCs w:val="24"/>
        </w:rPr>
        <w:t>，全市行政村共352个，已进行整村授信行政村数285个，已授信16万户，授</w:t>
      </w:r>
      <w:proofErr w:type="gramStart"/>
      <w:r>
        <w:rPr>
          <w:rFonts w:asciiTheme="minorEastAsia" w:eastAsiaTheme="minorEastAsia" w:hAnsiTheme="minorEastAsia" w:cs="仿宋_GB2312" w:hint="eastAsia"/>
          <w:sz w:val="24"/>
          <w:szCs w:val="24"/>
        </w:rPr>
        <w:t>信金额</w:t>
      </w:r>
      <w:proofErr w:type="gramEnd"/>
      <w:r>
        <w:rPr>
          <w:rFonts w:asciiTheme="minorEastAsia" w:eastAsiaTheme="minorEastAsia" w:hAnsiTheme="minorEastAsia" w:cs="仿宋_GB2312" w:hint="eastAsia"/>
          <w:sz w:val="24"/>
          <w:szCs w:val="24"/>
        </w:rPr>
        <w:t>113.49亿元，覆盖80.97%，已完成工作指标。</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B.农村普惠金融户户通“985”按期落地</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一是辖区常住家庭户数+辖区个体工商户及企业数29.5万户，本行客户信息建档</w:t>
      </w:r>
      <w:r>
        <w:rPr>
          <w:rFonts w:asciiTheme="minorEastAsia" w:eastAsiaTheme="minorEastAsia" w:hAnsiTheme="minorEastAsia" w:cs="仿宋_GB2312" w:hint="eastAsia"/>
          <w:sz w:val="24"/>
          <w:szCs w:val="24"/>
        </w:rPr>
        <w:lastRenderedPageBreak/>
        <w:t>总数92.8万户（其中个人建档89.38万户，个体工商户及企业建档3.63万户），建档覆盖率100%。二</w:t>
      </w:r>
      <w:proofErr w:type="gramStart"/>
      <w:r>
        <w:rPr>
          <w:rFonts w:asciiTheme="minorEastAsia" w:eastAsiaTheme="minorEastAsia" w:hAnsiTheme="minorEastAsia" w:cs="仿宋_GB2312" w:hint="eastAsia"/>
          <w:sz w:val="24"/>
          <w:szCs w:val="24"/>
        </w:rPr>
        <w:t>是预授信</w:t>
      </w:r>
      <w:proofErr w:type="gramEnd"/>
      <w:r>
        <w:rPr>
          <w:rFonts w:asciiTheme="minorEastAsia" w:eastAsiaTheme="minorEastAsia" w:hAnsiTheme="minorEastAsia" w:cs="仿宋_GB2312" w:hint="eastAsia"/>
          <w:sz w:val="24"/>
          <w:szCs w:val="24"/>
        </w:rPr>
        <w:t>和</w:t>
      </w:r>
      <w:proofErr w:type="gramStart"/>
      <w:r>
        <w:rPr>
          <w:rFonts w:asciiTheme="minorEastAsia" w:eastAsiaTheme="minorEastAsia" w:hAnsiTheme="minorEastAsia" w:cs="仿宋_GB2312" w:hint="eastAsia"/>
          <w:sz w:val="24"/>
          <w:szCs w:val="24"/>
        </w:rPr>
        <w:t>授信</w:t>
      </w:r>
      <w:proofErr w:type="gramEnd"/>
      <w:r>
        <w:rPr>
          <w:rFonts w:asciiTheme="minorEastAsia" w:eastAsiaTheme="minorEastAsia" w:hAnsiTheme="minorEastAsia" w:cs="仿宋_GB2312" w:hint="eastAsia"/>
          <w:sz w:val="24"/>
          <w:szCs w:val="24"/>
        </w:rPr>
        <w:t>的客户数27.84万户，授</w:t>
      </w:r>
      <w:proofErr w:type="gramStart"/>
      <w:r>
        <w:rPr>
          <w:rFonts w:asciiTheme="minorEastAsia" w:eastAsiaTheme="minorEastAsia" w:hAnsiTheme="minorEastAsia" w:cs="仿宋_GB2312" w:hint="eastAsia"/>
          <w:sz w:val="24"/>
          <w:szCs w:val="24"/>
        </w:rPr>
        <w:t>信金额</w:t>
      </w:r>
      <w:proofErr w:type="gramEnd"/>
      <w:r>
        <w:rPr>
          <w:rFonts w:asciiTheme="minorEastAsia" w:eastAsiaTheme="minorEastAsia" w:hAnsiTheme="minorEastAsia" w:cs="仿宋_GB2312" w:hint="eastAsia"/>
          <w:sz w:val="24"/>
          <w:szCs w:val="24"/>
        </w:rPr>
        <w:t>254.6亿元，授信覆盖率为100%。三是签约用款客户数4.88万户，合同签约金额147.3亿元，用信覆盖率为22.97%。对比试点以来覆盖率增长5.15个百分点。</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②丰富信贷产品，满足涉农小</w:t>
      </w:r>
      <w:proofErr w:type="gramStart"/>
      <w:r>
        <w:rPr>
          <w:rFonts w:asciiTheme="minorEastAsia" w:eastAsiaTheme="minorEastAsia" w:hAnsiTheme="minorEastAsia" w:cs="仿宋_GB2312" w:hint="eastAsia"/>
          <w:sz w:val="24"/>
          <w:szCs w:val="24"/>
        </w:rPr>
        <w:t>微企业</w:t>
      </w:r>
      <w:proofErr w:type="gramEnd"/>
      <w:r>
        <w:rPr>
          <w:rFonts w:asciiTheme="minorEastAsia" w:eastAsiaTheme="minorEastAsia" w:hAnsiTheme="minorEastAsia" w:cs="仿宋_GB2312" w:hint="eastAsia"/>
          <w:sz w:val="24"/>
          <w:szCs w:val="24"/>
        </w:rPr>
        <w:t>和农户、居民的融资需求</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本行因地制宜，持续补充更新“乡村振兴”、“绿水青山”、“户户通”系列惠民惠企贷款，打造了“户户通”系列纯线</w:t>
      </w:r>
      <w:proofErr w:type="gramStart"/>
      <w:r>
        <w:rPr>
          <w:rFonts w:asciiTheme="minorEastAsia" w:eastAsiaTheme="minorEastAsia" w:hAnsiTheme="minorEastAsia" w:cs="仿宋_GB2312" w:hint="eastAsia"/>
          <w:sz w:val="24"/>
          <w:szCs w:val="24"/>
        </w:rPr>
        <w:t>上贷款模式</w:t>
      </w:r>
      <w:proofErr w:type="gramEnd"/>
      <w:r>
        <w:rPr>
          <w:rFonts w:asciiTheme="minorEastAsia" w:eastAsiaTheme="minorEastAsia" w:hAnsiTheme="minorEastAsia" w:cs="仿宋_GB2312" w:hint="eastAsia"/>
          <w:sz w:val="24"/>
          <w:szCs w:val="24"/>
        </w:rPr>
        <w:t>及信贷产品，有效满足客户群体多元化金融服务需求，网络服务覆盖面不断扩大。例如：本行先后设计了宜农e贷，宜商e贷，三农易、小微易、新市民贷、小区业主贷、街区居民贷等创新产品，产品依据人缘、地缘特色，深度</w:t>
      </w:r>
      <w:proofErr w:type="gramStart"/>
      <w:r>
        <w:rPr>
          <w:rFonts w:asciiTheme="minorEastAsia" w:eastAsiaTheme="minorEastAsia" w:hAnsiTheme="minorEastAsia" w:cs="仿宋_GB2312" w:hint="eastAsia"/>
          <w:sz w:val="24"/>
          <w:szCs w:val="24"/>
        </w:rPr>
        <w:t>融合省联社</w:t>
      </w:r>
      <w:proofErr w:type="gramEnd"/>
      <w:r>
        <w:rPr>
          <w:rFonts w:asciiTheme="minorEastAsia" w:eastAsiaTheme="minorEastAsia" w:hAnsiTheme="minorEastAsia" w:cs="仿宋_GB2312" w:hint="eastAsia"/>
          <w:sz w:val="24"/>
          <w:szCs w:val="24"/>
        </w:rPr>
        <w:t>科技支撑，是本行优化贷款结构，深耕普惠金融的有力支持。自产品开发应用以来，户户通系列产品总共用信18560户，余额19.18万元，户均余额10.33万元，占本行信用保证类贷款余额约42%。</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③下沉服务大走访，精准助力企业发展</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聚焦企业金融服务需求，加大对“百县千镇万村高质量发展工程”和乡村振兴项目的金融支持，促进强县、兴镇、富村。制定了《信宜农商银行“转作风、大走访、大营销”活动工作方案》《信宜农商银行“走访企业听心声，精准服务助发展”活动工作方案》，开展精准走访营销活动，落实“金融倍增工程”，坚持制造业当家，加强与政府部门、行业商会对接，主动上门服务了解需求，提升金融服务效能。截至2023年12月末，已累计走访对接制造业企业674家，五大工业园区企业115家，楼盘43个，提前介入政府19个重点项目，实现走访100%覆盖。并结合12个镇18项“一镇</w:t>
      </w:r>
      <w:proofErr w:type="gramStart"/>
      <w:r>
        <w:rPr>
          <w:rFonts w:asciiTheme="minorEastAsia" w:eastAsiaTheme="minorEastAsia" w:hAnsiTheme="minorEastAsia" w:cs="仿宋_GB2312" w:hint="eastAsia"/>
          <w:sz w:val="24"/>
          <w:szCs w:val="24"/>
        </w:rPr>
        <w:t>一</w:t>
      </w:r>
      <w:proofErr w:type="gramEnd"/>
      <w:r>
        <w:rPr>
          <w:rFonts w:asciiTheme="minorEastAsia" w:eastAsiaTheme="minorEastAsia" w:hAnsiTheme="minorEastAsia" w:cs="仿宋_GB2312" w:hint="eastAsia"/>
          <w:sz w:val="24"/>
          <w:szCs w:val="24"/>
        </w:rPr>
        <w:t>业、一村一品”加大对竹编、三华李等地方特色农业产业金融支持力度，本行累计投放信贷资金6.67亿元用于支持地方产业，助推乡村振兴。其中，累计发放7,022万元贷款支持三华</w:t>
      </w:r>
      <w:proofErr w:type="gramStart"/>
      <w:r>
        <w:rPr>
          <w:rFonts w:asciiTheme="minorEastAsia" w:eastAsiaTheme="minorEastAsia" w:hAnsiTheme="minorEastAsia" w:cs="仿宋_GB2312" w:hint="eastAsia"/>
          <w:sz w:val="24"/>
          <w:szCs w:val="24"/>
        </w:rPr>
        <w:t>李产业</w:t>
      </w:r>
      <w:proofErr w:type="gramEnd"/>
      <w:r>
        <w:rPr>
          <w:rFonts w:asciiTheme="minorEastAsia" w:eastAsiaTheme="minorEastAsia" w:hAnsiTheme="minorEastAsia" w:cs="仿宋_GB2312" w:hint="eastAsia"/>
          <w:sz w:val="24"/>
          <w:szCs w:val="24"/>
        </w:rPr>
        <w:t>上下游的农户、个体工商及企业，补全三华李“信字号”特色产业链。</w:t>
      </w:r>
    </w:p>
    <w:p w:rsidR="008768CC" w:rsidRDefault="008768CC" w:rsidP="008768CC">
      <w:pPr>
        <w:widowControl w:val="0"/>
        <w:spacing w:line="500" w:lineRule="exact"/>
        <w:ind w:firstLineChars="0" w:firstLine="0"/>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sz w:val="24"/>
          <w:szCs w:val="24"/>
        </w:rPr>
        <w:t>（3）2024年“三农”金融服务支持规划</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2024年，本行在总行党委领导下，坚持以习近平新时代中国特色社会主义思想</w:t>
      </w:r>
      <w:r>
        <w:rPr>
          <w:rFonts w:asciiTheme="minorEastAsia" w:eastAsiaTheme="minorEastAsia" w:hAnsiTheme="minorEastAsia" w:cs="仿宋_GB2312" w:hint="eastAsia"/>
          <w:sz w:val="24"/>
          <w:szCs w:val="24"/>
        </w:rPr>
        <w:lastRenderedPageBreak/>
        <w:t>为指导，深入贯彻落实党的二十大精神、 中央经济工作会议精神，全面落实省联社工作部署及监管部门的工作要求，坚持党的全面领导、全面从严治党，   坚定不移走勤劳金融发展之路，确保金融服务有效下沉，具体规划如下：</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①坚守定位，将“普惠金融户户通”落到实处。各单位要发挥本行点多线长面广及人缘地缘相亲的优势，以省委省政府要求加大力度金融支持“百千万工程”为契机，进一步将本行金融资源和服务下移下沉。一是以“户户通”工作为抓手，以“勤劳金融”推动普惠小微、支农支</w:t>
      </w:r>
      <w:proofErr w:type="gramStart"/>
      <w:r>
        <w:rPr>
          <w:rFonts w:asciiTheme="minorEastAsia" w:eastAsiaTheme="minorEastAsia" w:hAnsiTheme="minorEastAsia" w:cs="仿宋_GB2312" w:hint="eastAsia"/>
          <w:sz w:val="24"/>
          <w:szCs w:val="24"/>
        </w:rPr>
        <w:t>小业务扩</w:t>
      </w:r>
      <w:proofErr w:type="gramEnd"/>
      <w:r>
        <w:rPr>
          <w:rFonts w:asciiTheme="minorEastAsia" w:eastAsiaTheme="minorEastAsia" w:hAnsiTheme="minorEastAsia" w:cs="仿宋_GB2312" w:hint="eastAsia"/>
          <w:sz w:val="24"/>
          <w:szCs w:val="24"/>
        </w:rPr>
        <w:t>面、增量、提质，这是一条行之有效的道路，也是本行发展的必选之路。二是积极</w:t>
      </w:r>
      <w:proofErr w:type="gramStart"/>
      <w:r>
        <w:rPr>
          <w:rFonts w:asciiTheme="minorEastAsia" w:eastAsiaTheme="minorEastAsia" w:hAnsiTheme="minorEastAsia" w:cs="仿宋_GB2312" w:hint="eastAsia"/>
          <w:sz w:val="24"/>
          <w:szCs w:val="24"/>
        </w:rPr>
        <w:t>践行</w:t>
      </w:r>
      <w:proofErr w:type="gramEnd"/>
      <w:r>
        <w:rPr>
          <w:rFonts w:asciiTheme="minorEastAsia" w:eastAsiaTheme="minorEastAsia" w:hAnsiTheme="minorEastAsia" w:cs="仿宋_GB2312" w:hint="eastAsia"/>
          <w:sz w:val="24"/>
          <w:szCs w:val="24"/>
        </w:rPr>
        <w:t>金融特派员驻镇扶村、农村信用体系建设等工作，</w:t>
      </w:r>
      <w:proofErr w:type="gramStart"/>
      <w:r>
        <w:rPr>
          <w:rFonts w:asciiTheme="minorEastAsia" w:eastAsiaTheme="minorEastAsia" w:hAnsiTheme="minorEastAsia" w:cs="仿宋_GB2312" w:hint="eastAsia"/>
          <w:sz w:val="24"/>
          <w:szCs w:val="24"/>
        </w:rPr>
        <w:t>践行</w:t>
      </w:r>
      <w:proofErr w:type="gramEnd"/>
      <w:r>
        <w:rPr>
          <w:rFonts w:asciiTheme="minorEastAsia" w:eastAsiaTheme="minorEastAsia" w:hAnsiTheme="minorEastAsia" w:cs="仿宋_GB2312" w:hint="eastAsia"/>
          <w:sz w:val="24"/>
          <w:szCs w:val="24"/>
        </w:rPr>
        <w:t>数字化时代“勤劳金融”，精准发力、引领发展，将高质量发展贯穿始终。</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②完善涉农服务机制。一是持续深化“党建+金融”支农服务新模式。深入构建“1+1+3”党建共建共促乡村振兴工作体系，接力推进巩固拓展脱贫攻坚成果，持续提升支持乡村振兴服务质效。二是推行“数字+金融”支农产品创新模式。 围绕“兴业、强村、富民”加快产品创新，不断完善产品体系，满足县域多样化的金融需求，提高农村金融服务覆盖面和适配度。三要推行“资产+金融”信用产品创新模式。加大推广禽畜活体抵押贷款，积极推广林权等抵押贷款，探索开展大型农机具、农业设施、机械设备抵质押贷款业务，有效盘活乡村资产。</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③加大涉农贷款投放。一是支持农产品稳产保供。加大对春耕生产、粮食和重要农产品供应等重点领域的信贷支持，加大对种业领域中长期信贷投放力度。二是支持特色农业现代化。支持本地特色优势农业产业发展，支持现代农业科技园建设。三是支持新型农业经营主体发展。大力开展“政府+银行+保险（担保）”合作方式，针对种养大户、家庭农场、农业合作社等新型农业经营主体，提供专业的金融服务。四是支持农村基础设施建设。大力支持农村人居环境整治提升，补齐乡村基础设施短板，实现城乡基础建设均衡发展。五是聚焦传统制造业转型升级、战略性新兴产业发展壮大、塑造未来产业、集群行业重要主体做大做</w:t>
      </w:r>
      <w:proofErr w:type="gramStart"/>
      <w:r>
        <w:rPr>
          <w:rFonts w:asciiTheme="minorEastAsia" w:eastAsiaTheme="minorEastAsia" w:hAnsiTheme="minorEastAsia" w:cs="仿宋_GB2312" w:hint="eastAsia"/>
          <w:sz w:val="24"/>
          <w:szCs w:val="24"/>
        </w:rPr>
        <w:t>强做</w:t>
      </w:r>
      <w:proofErr w:type="gramEnd"/>
      <w:r>
        <w:rPr>
          <w:rFonts w:asciiTheme="minorEastAsia" w:eastAsiaTheme="minorEastAsia" w:hAnsiTheme="minorEastAsia" w:cs="仿宋_GB2312" w:hint="eastAsia"/>
          <w:sz w:val="24"/>
          <w:szCs w:val="24"/>
        </w:rPr>
        <w:t>优、生产性服务业加快发展等五项重点任务，持续加大对制造业企业信贷支持力度，精准支持制造业重点项目和重点工程。</w:t>
      </w:r>
    </w:p>
    <w:p w:rsidR="008768CC" w:rsidRDefault="008768CC" w:rsidP="008768CC">
      <w:pPr>
        <w:widowControl w:val="0"/>
        <w:spacing w:line="500" w:lineRule="exact"/>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lastRenderedPageBreak/>
        <w:t>④2024年涉农贷款投放计划。认真落实涉农贷款持续增长，普惠型涉农贷款增速高于各项贷款增速的要求，坚持涉农贷款优先的原则，预计2024年末各项贷款余额达到145亿元，比年初增加8亿元，增速5.84%；2024年末涉农及小</w:t>
      </w:r>
      <w:proofErr w:type="gramStart"/>
      <w:r>
        <w:rPr>
          <w:rFonts w:asciiTheme="minorEastAsia" w:eastAsiaTheme="minorEastAsia" w:hAnsiTheme="minorEastAsia" w:cs="仿宋_GB2312" w:hint="eastAsia"/>
          <w:sz w:val="24"/>
          <w:szCs w:val="24"/>
        </w:rPr>
        <w:t>微企业</w:t>
      </w:r>
      <w:proofErr w:type="gramEnd"/>
      <w:r>
        <w:rPr>
          <w:rFonts w:asciiTheme="minorEastAsia" w:eastAsiaTheme="minorEastAsia" w:hAnsiTheme="minorEastAsia" w:cs="仿宋_GB2312" w:hint="eastAsia"/>
          <w:sz w:val="24"/>
          <w:szCs w:val="24"/>
        </w:rPr>
        <w:t>贷款占比保持在80%以上，涉农贷款保持持续增长。</w:t>
      </w:r>
    </w:p>
    <w:p w:rsidR="008768CC" w:rsidRDefault="008768CC" w:rsidP="008768CC">
      <w:pPr>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768CC" w:rsidRDefault="008768CC" w:rsidP="008768CC">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18.小</w:t>
      </w:r>
      <w:proofErr w:type="gramStart"/>
      <w:r>
        <w:rPr>
          <w:rFonts w:asciiTheme="minorEastAsia" w:eastAsiaTheme="minorEastAsia" w:hAnsiTheme="minorEastAsia" w:hint="eastAsia"/>
          <w:b/>
          <w:sz w:val="24"/>
          <w:szCs w:val="24"/>
        </w:rPr>
        <w:t>微企业</w:t>
      </w:r>
      <w:proofErr w:type="gramEnd"/>
      <w:r>
        <w:rPr>
          <w:rFonts w:asciiTheme="minorEastAsia" w:eastAsiaTheme="minorEastAsia" w:hAnsiTheme="minorEastAsia" w:hint="eastAsia"/>
          <w:b/>
          <w:sz w:val="24"/>
          <w:szCs w:val="24"/>
        </w:rPr>
        <w:t>金融服务情况报告</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为了提供更好的小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金融服务，本行认真贯彻落实党中央、国务院和中国人民银行等上级监管部门的决策部署，严格执行支持小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金融服务政策，加大小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贷款投放，努力提升小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金融服务质效。现将本行2023年小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金融服务开展情况报告如下：</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贷款总体情况</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截至2023年12月末，信宜农商行在全辖内共有53个网点，各项贷款余额137.08亿元，比上年末增加1.96亿元，增幅1.45%，贷款户数42757户，其中：全口径小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贷款余额54.49亿元，比年初增加2.66亿元，小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贷款户数6472户，小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贷款平均利率4.49%；2023年共投放小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3007户，贷款金额49亿元。实现小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贷款余额持续增长的监管要求。</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proofErr w:type="gramStart"/>
      <w:r>
        <w:rPr>
          <w:rFonts w:asciiTheme="minorEastAsia" w:eastAsiaTheme="minorEastAsia" w:hAnsiTheme="minorEastAsia" w:hint="eastAsia"/>
          <w:sz w:val="24"/>
          <w:szCs w:val="24"/>
        </w:rPr>
        <w:t>单户授信</w:t>
      </w:r>
      <w:proofErr w:type="gramEnd"/>
      <w:r>
        <w:rPr>
          <w:rFonts w:asciiTheme="minorEastAsia" w:eastAsiaTheme="minorEastAsia" w:hAnsiTheme="minorEastAsia" w:hint="eastAsia"/>
          <w:sz w:val="24"/>
          <w:szCs w:val="24"/>
        </w:rPr>
        <w:t>总额1000万元（含）以下的小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贷款（以下简称普惠型小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贷款）情况</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①普惠型小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贷款“两增”情况。截至2023年12月末，本行普惠型小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贷款余额38.16亿元，比年初增加3.26亿元，增速9.35%，高于各项贷款增速9.82个百分点，有贷款余额的户数6428户，比年初1054户，实现普惠型小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“两增”目标。</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②普惠型小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贷款“两控”情况。本行积极履行普惠金融服务的社会责任，严格执行国家有关减轻企业融资成本的政策，本行2023年新发放的普惠型小</w:t>
      </w:r>
      <w:proofErr w:type="gramStart"/>
      <w:r>
        <w:rPr>
          <w:rFonts w:asciiTheme="minorEastAsia" w:eastAsiaTheme="minorEastAsia" w:hAnsiTheme="minorEastAsia" w:hint="eastAsia"/>
          <w:sz w:val="24"/>
          <w:szCs w:val="24"/>
        </w:rPr>
        <w:t>微企业贷款年化利率</w:t>
      </w:r>
      <w:proofErr w:type="gramEnd"/>
      <w:r>
        <w:rPr>
          <w:rFonts w:asciiTheme="minorEastAsia" w:eastAsiaTheme="minorEastAsia" w:hAnsiTheme="minorEastAsia" w:hint="eastAsia"/>
          <w:sz w:val="24"/>
          <w:szCs w:val="24"/>
        </w:rPr>
        <w:t>5.02%，比2022年同期新发放贷款</w:t>
      </w:r>
      <w:proofErr w:type="gramStart"/>
      <w:r>
        <w:rPr>
          <w:rFonts w:asciiTheme="minorEastAsia" w:eastAsiaTheme="minorEastAsia" w:hAnsiTheme="minorEastAsia" w:hint="eastAsia"/>
          <w:sz w:val="24"/>
          <w:szCs w:val="24"/>
        </w:rPr>
        <w:t>年化利率</w:t>
      </w:r>
      <w:proofErr w:type="gramEnd"/>
      <w:r>
        <w:rPr>
          <w:rFonts w:asciiTheme="minorEastAsia" w:eastAsiaTheme="minorEastAsia" w:hAnsiTheme="minorEastAsia" w:hint="eastAsia"/>
          <w:sz w:val="24"/>
          <w:szCs w:val="24"/>
        </w:rPr>
        <w:t>下降0.12个百分点，小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融资成本明显降低且保持在合理水平，有效缓解了小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融资贵问题。各项贷款不良贷款率为0.85% ，普惠型小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贷款不良率为1.06%，不良率控制在不高于各项贷款不良率3个百分点以内，普惠型小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贷款不良率控制在合理水平。</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（3）普惠型小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贷款信贷计划执行情况</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本行计划2023年普惠型小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贷款比年初净增2亿元。截至2023年12月末，本行普惠型小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贷款余额38.16亿元，比年初增加3.26亿元，完成普惠型</w:t>
      </w:r>
      <w:r>
        <w:rPr>
          <w:rFonts w:asciiTheme="minorEastAsia" w:eastAsiaTheme="minorEastAsia" w:hAnsiTheme="minorEastAsia" w:hint="eastAsia"/>
          <w:sz w:val="24"/>
          <w:szCs w:val="24"/>
        </w:rPr>
        <w:lastRenderedPageBreak/>
        <w:t>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贷款2023年度信贷计划的163.07%。</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（4）普惠型小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金融服务具体工作措施及成效</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①坚持党建引领,</w:t>
      </w:r>
      <w:proofErr w:type="gramStart"/>
      <w:r>
        <w:rPr>
          <w:rFonts w:asciiTheme="minorEastAsia" w:eastAsiaTheme="minorEastAsia" w:hAnsiTheme="minorEastAsia" w:hint="eastAsia"/>
          <w:sz w:val="24"/>
          <w:szCs w:val="24"/>
        </w:rPr>
        <w:t>践行</w:t>
      </w:r>
      <w:proofErr w:type="gramEnd"/>
      <w:r>
        <w:rPr>
          <w:rFonts w:asciiTheme="minorEastAsia" w:eastAsiaTheme="minorEastAsia" w:hAnsiTheme="minorEastAsia" w:hint="eastAsia"/>
          <w:sz w:val="24"/>
          <w:szCs w:val="24"/>
        </w:rPr>
        <w:t>普惠金融，支持小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发展。本行坚持党建引领守支农支小定位，始终以服务地方经济、三农及小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为己任，着力提升金融服务质效。2023年，为助推乡村振兴，本行发挥县域金融主力军作用，</w:t>
      </w:r>
      <w:proofErr w:type="gramStart"/>
      <w:r>
        <w:rPr>
          <w:rFonts w:asciiTheme="minorEastAsia" w:eastAsiaTheme="minorEastAsia" w:hAnsiTheme="minorEastAsia" w:hint="eastAsia"/>
          <w:sz w:val="24"/>
          <w:szCs w:val="24"/>
        </w:rPr>
        <w:t>加强银政合作</w:t>
      </w:r>
      <w:proofErr w:type="gramEnd"/>
      <w:r>
        <w:rPr>
          <w:rFonts w:asciiTheme="minorEastAsia" w:eastAsiaTheme="minorEastAsia" w:hAnsiTheme="minorEastAsia" w:hint="eastAsia"/>
          <w:sz w:val="24"/>
          <w:szCs w:val="24"/>
        </w:rPr>
        <w:t>，跟进我市基础产业项目、重点项目、招商引资项目、城建项目等建设资金需求，积极为当地建设提供高效融资支持，重点加大对乡村基础设施建设项目、现代农业产业园建设项目、“一村一品、一镇</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业”等特色产业的金融供给。</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②加大重点项目支持力度，本年累计支持信宜市钱排镇乡村振兴项目、广东福尔电子(电线)有限公司增资扩产技术改造项目、</w:t>
      </w:r>
      <w:proofErr w:type="gramStart"/>
      <w:r>
        <w:rPr>
          <w:rFonts w:asciiTheme="minorEastAsia" w:eastAsiaTheme="minorEastAsia" w:hAnsiTheme="minorEastAsia" w:hint="eastAsia"/>
          <w:sz w:val="24"/>
          <w:szCs w:val="24"/>
        </w:rPr>
        <w:t>信宜市健民</w:t>
      </w:r>
      <w:proofErr w:type="gramEnd"/>
      <w:r>
        <w:rPr>
          <w:rFonts w:asciiTheme="minorEastAsia" w:eastAsiaTheme="minorEastAsia" w:hAnsiTheme="minorEastAsia" w:hint="eastAsia"/>
          <w:sz w:val="24"/>
          <w:szCs w:val="24"/>
        </w:rPr>
        <w:t>医院建设项目等重点项目融资需求，截至12月末，本行支持重点项目建设贷款余额2,141.4万元。</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③以金融支持“五棵树，一条鱼”为契机，积极探索适应现代农业产业发展方向和需求的金融产品和服务方式，制定《广东信宜农村商业银行股份有限公司金融支持“五棵树，一条鱼”工作方案》，从信贷支持计划、完善基础金融服务、优化金融服务、创新贷款品种、贷款利率优惠、完善尽职免责等六个方面支持特色农业产业发展。截至2023年12月，本行“五棵树一条鱼”特色产业贷款余额6,098.22万元，本年累计发放1,810万元。</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④下沉服务大走访，精准助力企业发展。聚焦企业金融服务需求，加大对“百县千镇万村高质量发展工程”和乡村振兴项目的金融支持，促进强县、兴镇、富村。制定了《信宜农商银行“转作风、大走访、大营销”活动工作方案》《信宜农商银行“走访企业听心声，精准服务助发展”活动工作方案》，开展精准走访营销活动，落实“金融倍增工程”，坚持制造业当家，加强与政府部门、行业商会对接，主动上门服务了解需求，提升金融服务效能。截至2023年12月末，已累计走访对接制造业企业674家，五大工业园区企业115家，楼盘43个，提前介入政府19个重点项目，实现走访100%覆盖。并结合12个镇18项“一镇</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业、一村一品”加大对竹编、三华李等地方特色农业产业金融支持力度，本行累计投放信贷资金6.67亿元用于支持地方产业，助推乡村振兴。其中，累计发放7,022</w:t>
      </w:r>
      <w:r>
        <w:rPr>
          <w:rFonts w:asciiTheme="minorEastAsia" w:eastAsiaTheme="minorEastAsia" w:hAnsiTheme="minorEastAsia" w:hint="eastAsia"/>
          <w:sz w:val="24"/>
          <w:szCs w:val="24"/>
        </w:rPr>
        <w:lastRenderedPageBreak/>
        <w:t>万元贷款支持三华</w:t>
      </w:r>
      <w:proofErr w:type="gramStart"/>
      <w:r>
        <w:rPr>
          <w:rFonts w:asciiTheme="minorEastAsia" w:eastAsiaTheme="minorEastAsia" w:hAnsiTheme="minorEastAsia" w:hint="eastAsia"/>
          <w:sz w:val="24"/>
          <w:szCs w:val="24"/>
        </w:rPr>
        <w:t>李产业</w:t>
      </w:r>
      <w:proofErr w:type="gramEnd"/>
      <w:r>
        <w:rPr>
          <w:rFonts w:asciiTheme="minorEastAsia" w:eastAsiaTheme="minorEastAsia" w:hAnsiTheme="minorEastAsia" w:hint="eastAsia"/>
          <w:sz w:val="24"/>
          <w:szCs w:val="24"/>
        </w:rPr>
        <w:t>上下游的农户、个体工商及企业，补全三华李“信字号”特色产业链。</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⑤落实小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尽职免责制度。2023年小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不良贷款追责业务中，涉及小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不良贷款本金金额1,970.23万元，其中：实际尽职免责涉及的本金金额410.03万元，实际免责金额比例为20.81 %；涉及责任人员数107人次（管理人员20人次、一般业务人员87人次），其中：实际尽职免责人数65人次（管理人员7人次、一般业务人员58人次），免责比例60.75%。</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（5）下一步工作计划</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下一步，本行计划重点做好以下几方面工作：</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①把握各镇、村资源禀赋，精准滴灌。一是针对一县一园、一镇</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业、一村一品、跨县集群等产业发展新格局，大力支持地方特色农业产业，如大成茶叶、贵子苦瓜、朱砂网箱鱼、怀乡三黄鸡、洪冠</w:t>
      </w:r>
      <w:proofErr w:type="gramStart"/>
      <w:r>
        <w:rPr>
          <w:rFonts w:asciiTheme="minorEastAsia" w:eastAsiaTheme="minorEastAsia" w:hAnsiTheme="minorEastAsia" w:hint="eastAsia"/>
          <w:sz w:val="24"/>
          <w:szCs w:val="24"/>
        </w:rPr>
        <w:t>氹</w:t>
      </w:r>
      <w:proofErr w:type="gramEnd"/>
      <w:r>
        <w:rPr>
          <w:rFonts w:asciiTheme="minorEastAsia" w:eastAsiaTheme="minorEastAsia" w:hAnsiTheme="minorEastAsia" w:hint="eastAsia"/>
          <w:sz w:val="24"/>
          <w:szCs w:val="24"/>
        </w:rPr>
        <w:t>仔鱼、南药、钱排、茶山三华李、思贺杉木种植等。二是持续加大对特色产业支持，如怀乡竹编、平塘黑</w:t>
      </w:r>
      <w:proofErr w:type="gramStart"/>
      <w:r>
        <w:rPr>
          <w:rFonts w:asciiTheme="minorEastAsia" w:eastAsiaTheme="minorEastAsia" w:hAnsiTheme="minorEastAsia" w:hint="eastAsia"/>
          <w:sz w:val="24"/>
          <w:szCs w:val="24"/>
        </w:rPr>
        <w:t>榄</w:t>
      </w:r>
      <w:proofErr w:type="gramEnd"/>
      <w:r>
        <w:rPr>
          <w:rFonts w:asciiTheme="minorEastAsia" w:eastAsiaTheme="minorEastAsia" w:hAnsiTheme="minorEastAsia" w:hint="eastAsia"/>
          <w:sz w:val="24"/>
          <w:szCs w:val="24"/>
        </w:rPr>
        <w:t>加工、市区电子元件制造、玉器加工、家具制造等，加大对支撑经济起重要作用的主导或优势产业的金融支持力度。三是依靠县域旅游项目发展，发掘项目上下游的住宿餐饮、基础建设等贷款需求，如北界温泉、天马山；池洞莲花湖；</w:t>
      </w:r>
      <w:proofErr w:type="gramStart"/>
      <w:r>
        <w:rPr>
          <w:rFonts w:asciiTheme="minorEastAsia" w:eastAsiaTheme="minorEastAsia" w:hAnsiTheme="minorEastAsia" w:hint="eastAsia"/>
          <w:sz w:val="24"/>
          <w:szCs w:val="24"/>
        </w:rPr>
        <w:t>钱排双合</w:t>
      </w:r>
      <w:proofErr w:type="gramEnd"/>
      <w:r>
        <w:rPr>
          <w:rFonts w:asciiTheme="minorEastAsia" w:eastAsiaTheme="minorEastAsia" w:hAnsiTheme="minorEastAsia" w:hint="eastAsia"/>
          <w:sz w:val="24"/>
          <w:szCs w:val="24"/>
        </w:rPr>
        <w:t>、李花谷；白石三华</w:t>
      </w:r>
      <w:proofErr w:type="gramStart"/>
      <w:r>
        <w:rPr>
          <w:rFonts w:asciiTheme="minorEastAsia" w:eastAsiaTheme="minorEastAsia" w:hAnsiTheme="minorEastAsia" w:hint="eastAsia"/>
          <w:sz w:val="24"/>
          <w:szCs w:val="24"/>
        </w:rPr>
        <w:t>李主题</w:t>
      </w:r>
      <w:proofErr w:type="gramEnd"/>
      <w:r>
        <w:rPr>
          <w:rFonts w:asciiTheme="minorEastAsia" w:eastAsiaTheme="minorEastAsia" w:hAnsiTheme="minorEastAsia" w:hint="eastAsia"/>
          <w:sz w:val="24"/>
          <w:szCs w:val="24"/>
        </w:rPr>
        <w:t>公园；平塘马安竹海；</w:t>
      </w:r>
      <w:proofErr w:type="gramStart"/>
      <w:r>
        <w:rPr>
          <w:rFonts w:asciiTheme="minorEastAsia" w:eastAsiaTheme="minorEastAsia" w:hAnsiTheme="minorEastAsia" w:hint="eastAsia"/>
          <w:sz w:val="24"/>
          <w:szCs w:val="24"/>
        </w:rPr>
        <w:t>窦洲里</w:t>
      </w:r>
      <w:proofErr w:type="gramEnd"/>
      <w:r>
        <w:rPr>
          <w:rFonts w:asciiTheme="minorEastAsia" w:eastAsiaTheme="minorEastAsia" w:hAnsiTheme="minorEastAsia" w:hint="eastAsia"/>
          <w:sz w:val="24"/>
          <w:szCs w:val="24"/>
        </w:rPr>
        <w:t>夜间经济带项目等。</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②加大乡镇节点功能建设信贷投入。一是支持农贸市场、乡镇农产品冷链物流配送、加工物流中心建设，完善农产品产销等方面的综合金融服务体系。二是支持乡镇打造兴旺的商业圈，优化圩镇、商圈，提供多样化金融服务，挖掘农村消费金融需求、助</w:t>
      </w:r>
      <w:proofErr w:type="gramStart"/>
      <w:r>
        <w:rPr>
          <w:rFonts w:asciiTheme="minorEastAsia" w:eastAsiaTheme="minorEastAsia" w:hAnsiTheme="minorEastAsia" w:hint="eastAsia"/>
          <w:sz w:val="24"/>
          <w:szCs w:val="24"/>
        </w:rPr>
        <w:t>推消费</w:t>
      </w:r>
      <w:proofErr w:type="gramEnd"/>
      <w:r>
        <w:rPr>
          <w:rFonts w:asciiTheme="minorEastAsia" w:eastAsiaTheme="minorEastAsia" w:hAnsiTheme="minorEastAsia" w:hint="eastAsia"/>
          <w:sz w:val="24"/>
          <w:szCs w:val="24"/>
        </w:rPr>
        <w:t>升级。三是加大中心</w:t>
      </w:r>
      <w:proofErr w:type="gramStart"/>
      <w:r>
        <w:rPr>
          <w:rFonts w:asciiTheme="minorEastAsia" w:eastAsiaTheme="minorEastAsia" w:hAnsiTheme="minorEastAsia" w:hint="eastAsia"/>
          <w:sz w:val="24"/>
          <w:szCs w:val="24"/>
        </w:rPr>
        <w:t>镇专业</w:t>
      </w:r>
      <w:proofErr w:type="gramEnd"/>
      <w:r>
        <w:rPr>
          <w:rFonts w:asciiTheme="minorEastAsia" w:eastAsiaTheme="minorEastAsia" w:hAnsiTheme="minorEastAsia" w:hint="eastAsia"/>
          <w:sz w:val="24"/>
          <w:szCs w:val="24"/>
        </w:rPr>
        <w:t>镇特色镇的改造提升以及传统优势产业转型升级、战略性新兴产业扶持、特色优势产业发展；示范乡镇发展休闲农业、乡村旅游、生态产业等方面的信贷资金投入。</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③全力做好金融支持制造业高质量发展。一是按网格化管理原则落实当地支行加大对当地工业园企业支持力度。二是对全市制造业企业实行名单制走访营销。三是加大金融资源供给和产品创新力度。</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br w:type="page"/>
      </w:r>
      <w:bookmarkStart w:id="11" w:name="_GoBack"/>
      <w:bookmarkEnd w:id="11"/>
    </w:p>
    <w:p w:rsidR="008768CC" w:rsidRDefault="008768CC" w:rsidP="008768CC">
      <w:pPr>
        <w:widowControl w:val="0"/>
        <w:spacing w:line="500" w:lineRule="exact"/>
        <w:ind w:firstLineChars="0" w:firstLine="0"/>
        <w:rPr>
          <w:rFonts w:asciiTheme="minorEastAsia" w:eastAsiaTheme="minorEastAsia" w:hAnsiTheme="minorEastAsia"/>
          <w:b/>
          <w:bCs/>
          <w:sz w:val="24"/>
          <w:szCs w:val="24"/>
        </w:rPr>
      </w:pPr>
      <w:r>
        <w:rPr>
          <w:rFonts w:asciiTheme="minorEastAsia" w:eastAsiaTheme="minorEastAsia" w:hAnsiTheme="minorEastAsia"/>
          <w:b/>
          <w:bCs/>
          <w:sz w:val="24"/>
          <w:szCs w:val="24"/>
        </w:rPr>
        <w:lastRenderedPageBreak/>
        <w:t>19.</w:t>
      </w:r>
      <w:r>
        <w:rPr>
          <w:rFonts w:asciiTheme="minorEastAsia" w:eastAsiaTheme="minorEastAsia" w:hAnsiTheme="minorEastAsia"/>
          <w:sz w:val="24"/>
          <w:szCs w:val="24"/>
        </w:rPr>
        <w:t xml:space="preserve"> </w:t>
      </w:r>
      <w:r>
        <w:rPr>
          <w:rFonts w:asciiTheme="minorEastAsia" w:eastAsiaTheme="minorEastAsia" w:hAnsiTheme="minorEastAsia" w:hint="eastAsia"/>
          <w:b/>
          <w:bCs/>
          <w:sz w:val="24"/>
          <w:szCs w:val="24"/>
        </w:rPr>
        <w:t>金融机构环境信息</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（1）年度概况</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切实履行持续推进绿色金融发展的管理和服务责任，积极创新推出绿色金融产品，绿色金融服务体系进一步完善，有效地促进绿色信贷投放，同时，严格执行禁入和限入政策，实行“环保一票否决制”，严禁对“两高一剩”行业贷款和环境、安全生产违法违规企业贷款，实现金融与产业协同发展。截至2023年12月末，本行绿色信贷贷款余额32,467.26万元，比年初增加1,980.81万元，增速6.5%，高于各项贷款增速5.05个百分点,实现绿色信贷增速不低于同期各项贷款增速的工作目标；按贷款质量划分，正常类贷款余额30,410.73万元，关注类贷款余额1,853.7万元，次级类贷款余额190.36万元，可疑类贷款余额12.47万元，不良贷款202.83万元，不良率0.62%；按绿色贷款项目划分，节能环保产业贷款2,244.42 万元，清洁能源产业贷款480.75万元，生态环境产业贷款26,079.87万元，基础设施绿色升级贷款2,532万元，绿色服务155万元，绿色贸易融资贷款975.22万元。</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（2）环境相关治理机构</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在国家绿色发展战略的引导下，本行不断完善环境管治架构，建立绿色金融管理的组织架构，包括董事会、高级管理层、总行各相关职能部门以及各经营机构。其中董事会承担绿色金融主体责任，树立并推行节约、低碳、环保、可持续发展等绿色发展理念，负责确定绿色金融发展战略，重视发挥本行在推进生态文明体系建设和促进经济社会发展全面绿色转型中的作用，建立与社会共赢的可持续发展模式。明确信贷管理部为绿色信贷牵头管理部门，配备相关资源，组织开展并归口管理绿色金融各项工作。</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（3）环境相关政策制度</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①外部政策执行情况</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积极贯彻绿色发展理念，主动承担社会责任，经营中严格遵循《中华人民共和国环境保护法》《中华人民共和国大气污染防治法》《中华人民共和国水污染防治法》《中华人民共和国环境噪音污染防治法》等国家及经营所在地有关环境的</w:t>
      </w:r>
      <w:r>
        <w:rPr>
          <w:rFonts w:asciiTheme="minorEastAsia" w:eastAsiaTheme="minorEastAsia" w:hAnsiTheme="minorEastAsia" w:hint="eastAsia"/>
          <w:sz w:val="24"/>
          <w:szCs w:val="24"/>
        </w:rPr>
        <w:lastRenderedPageBreak/>
        <w:t>法律法规，持续制定和完善适合本行自身战略方向和经营理念的内部政策制度，以全面推进绿色金融体系的建设与发展。报告期内，本行不存在重大违法环保问题。</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②内部制度制定情况</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制定了《广东信宜农村商业银行股份有限公司绿色金融工作实施管理办法（2022年版）》文件，明确了绿色信贷范围和相关部门职责，确定了绿色信贷重点支持、限制和禁止准入领域，将绿色信贷理念贯穿于信贷全流程管理，在贷前调查、信贷准入上，实行环保要求“一票否决制”；贷时审查上，将客户环保信息作为信贷审查的要件，纳入信贷审查的重要内容，对绿色信贷的需求要优先进行审查审批，对于达不到环保要求的项目采取一票否决制，严禁向不符合行业准入条件、达不到环保标准或未按规定取得环评审批文件的项目和客户提供授信；贷后管理上，对出现环保不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、环保严重违法行为的，实施信贷压缩和退出策略。</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（4）环境相关产品与服务创新</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信宜市山多地少，林木资源、水力资源丰富，是农业产业大市，素有“三华李产之乡”、“山地鸡王国”的美誉，山地养鸡、三华李、南药种植、林木种植和水力发电是地方特色产业，本行结合地方特色绿色产业实际，积极创新绿色金融产品，先后推出</w:t>
      </w:r>
      <w:proofErr w:type="gramStart"/>
      <w:r>
        <w:rPr>
          <w:rFonts w:asciiTheme="minorEastAsia" w:eastAsiaTheme="minorEastAsia" w:hAnsiTheme="minorEastAsia" w:hint="eastAsia"/>
          <w:sz w:val="24"/>
          <w:szCs w:val="24"/>
        </w:rPr>
        <w:t>李贷宝、药贷宝、真猪贷</w:t>
      </w:r>
      <w:proofErr w:type="gramEnd"/>
      <w:r>
        <w:rPr>
          <w:rFonts w:asciiTheme="minorEastAsia" w:eastAsiaTheme="minorEastAsia" w:hAnsiTheme="minorEastAsia" w:hint="eastAsia"/>
          <w:sz w:val="24"/>
          <w:szCs w:val="24"/>
        </w:rPr>
        <w:t>、林权抵押贷款等绿色金融贷款品种，支持本地林木种植产业、林下种植和</w:t>
      </w:r>
      <w:proofErr w:type="gramStart"/>
      <w:r>
        <w:rPr>
          <w:rFonts w:asciiTheme="minorEastAsia" w:eastAsiaTheme="minorEastAsia" w:hAnsiTheme="minorEastAsia" w:hint="eastAsia"/>
          <w:sz w:val="24"/>
          <w:szCs w:val="24"/>
        </w:rPr>
        <w:t>林下</w:t>
      </w:r>
      <w:proofErr w:type="gramEnd"/>
      <w:r>
        <w:rPr>
          <w:rFonts w:asciiTheme="minorEastAsia" w:eastAsiaTheme="minorEastAsia" w:hAnsiTheme="minorEastAsia" w:hint="eastAsia"/>
          <w:sz w:val="24"/>
          <w:szCs w:val="24"/>
        </w:rPr>
        <w:t>养殖产业、绿色畜牧业、绿色有机农业等绿色生态农业项目发展，促进绿色金融与地方特色绿色产业融合发展，同时也确保本行绿色信贷规模持续扩大。2023年，本行累计发放绿色贷款15,778万元，其中：支持生态环境产业绿色贷款12,373万元、节能环保产业860万元、清洁能源产业150万元、基础设施绿色升级1,940万元、绿色服务60万元、绿色贸易融395万元。</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（5）环境风险管理流程</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树立全面风险管理理念，建立健全与本行发展战略相适应的全面风险管理制度、组织架构、报告机制等，形成多维度、相互衔接、有效制衡的风险管理运行机制，积极通过提升风险管理水平、开发和优化绿色金融产品，将环境风险控制</w:t>
      </w:r>
      <w:r>
        <w:rPr>
          <w:rFonts w:asciiTheme="minorEastAsia" w:eastAsiaTheme="minorEastAsia" w:hAnsiTheme="minorEastAsia" w:hint="eastAsia"/>
          <w:sz w:val="24"/>
          <w:szCs w:val="24"/>
        </w:rPr>
        <w:lastRenderedPageBreak/>
        <w:t>理念融入业务流程。</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着力构建全方位的风险管理机制，实现风险可监测、能计量、有分析、能应对。通过风险识别、风险计量、风险控制、风险监测，对各业务面临的市场风险、信用风险、操作风险、流动性风险、声誉风险等各类风险进行事前识别和评估、事中计量和监测、事后报告和处置。</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（6）金融机构投融资活动的环境影响</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本行绿色信贷贷款余额32,467.26万元，比年初增加1,980.81万元，增速6.5%，高于各项贷款增速5.05个百分点，实现了绿色信贷增速大于本年各项贷款平均增速，完成不对红牌、黑名单企业发放新增贷款及</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新增黄牌企业授信的考核要求，在保护了辖内生态环境的同时，进一步优化了信贷结构，取得了较好的经济效益和社会效益。</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（7）数据梳理、校验及保护</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制定《广东信宜农村商业银行股份有限公司数据治理管理办法（2022年版）》《广东信宜农村商业银行股份有限公司信贷统计工作管理办法（2022年版）》等制度，明确相关部门职责，涵盖数据收集、整理、分析和报送等内容</w:t>
      </w:r>
      <w:r>
        <w:rPr>
          <w:rFonts w:asciiTheme="minorEastAsia" w:eastAsiaTheme="minorEastAsia" w:hAnsiTheme="minorEastAsia"/>
          <w:sz w:val="24"/>
          <w:szCs w:val="24"/>
        </w:rPr>
        <w:t>。</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p>
    <w:p w:rsidR="008768CC" w:rsidRDefault="008768CC" w:rsidP="008768CC">
      <w:pPr>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20. 董事会关于本行2023年度报告的确认意见</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根据《银行保险机构公司治理准则》（银保监发[2021]14号）、《商业银行信息披露办法》（中国银行业监督管理委员会令[2007]7号）、《商业银行信息披露特别规定》（中国银行业监督管理委员会公告[2008]33号）以及本行《公司章程》和《信息披露管理办法》的相关规定和要求，本行董事会在全面了解和审核本行2023年年度报告后，出具意见如下：</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（1）本行严格按照企业会计准则和相关制度规范运作，本行2023年年度报告公允地反映了本行2023年度的财务状况和经营结果。</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本行2023年年度报告涉及的各项数据已经核对、认定，体现稳健、审慎、客观、真实、准确、全面的原则，该报告所载资料不存在任何虚假记载、误导性陈述或重大遗漏，符合有关监管部门的要求和本行经营管理的实际情况。</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（3）本行年度财务报告已经广东岭南智华会计师事务所（特殊普通合伙）审计并出具标准无保留意见的审计报告。</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p>
    <w:p w:rsidR="008768CC" w:rsidRDefault="008768CC" w:rsidP="008768CC">
      <w:pPr>
        <w:widowControl w:val="0"/>
        <w:spacing w:line="500" w:lineRule="exact"/>
        <w:ind w:right="420"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广东信宜农村商业银行股份有限公司董事会</w:t>
      </w:r>
    </w:p>
    <w:p w:rsidR="008768CC" w:rsidRDefault="008768CC" w:rsidP="008768CC">
      <w:pPr>
        <w:widowControl w:val="0"/>
        <w:spacing w:line="500" w:lineRule="exact"/>
        <w:ind w:right="42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2024年4月24日</w:t>
      </w: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p>
    <w:p w:rsidR="008768CC" w:rsidRDefault="008768CC" w:rsidP="008768CC">
      <w:pPr>
        <w:widowControl w:val="0"/>
        <w:spacing w:line="500" w:lineRule="exact"/>
        <w:ind w:right="420" w:firstLineChars="0" w:firstLine="0"/>
        <w:rPr>
          <w:rFonts w:asciiTheme="minorEastAsia" w:eastAsiaTheme="minorEastAsia" w:hAnsiTheme="minorEastAsia"/>
          <w:sz w:val="24"/>
          <w:szCs w:val="24"/>
        </w:rPr>
      </w:pPr>
    </w:p>
    <w:p w:rsidR="008768CC" w:rsidRDefault="008768CC" w:rsidP="008768CC">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8768CC" w:rsidRDefault="008768CC" w:rsidP="008768CC">
      <w:pPr>
        <w:widowControl w:val="0"/>
        <w:spacing w:line="500" w:lineRule="exact"/>
        <w:ind w:right="420" w:firstLineChars="0" w:firstLine="0"/>
        <w:jc w:val="right"/>
        <w:rPr>
          <w:rFonts w:asciiTheme="minorEastAsia" w:eastAsiaTheme="minorEastAsia" w:hAnsiTheme="minorEastAsia"/>
          <w:sz w:val="24"/>
          <w:szCs w:val="24"/>
        </w:rPr>
      </w:pPr>
    </w:p>
    <w:p w:rsidR="008768CC" w:rsidRDefault="008768CC" w:rsidP="008768CC">
      <w:pPr>
        <w:widowControl w:val="0"/>
        <w:spacing w:line="500" w:lineRule="exact"/>
        <w:ind w:right="420" w:firstLineChars="0" w:firstLine="0"/>
        <w:jc w:val="right"/>
        <w:rPr>
          <w:rFonts w:asciiTheme="minorEastAsia" w:eastAsiaTheme="minorEastAsia" w:hAnsiTheme="minorEastAsia"/>
          <w:sz w:val="24"/>
          <w:szCs w:val="24"/>
        </w:rPr>
      </w:pP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br w:type="page"/>
      </w:r>
      <w:r>
        <w:rPr>
          <w:rFonts w:asciiTheme="minorEastAsia" w:eastAsiaTheme="minorEastAsia" w:hAnsiTheme="minorEastAsia" w:hint="eastAsia"/>
          <w:b/>
          <w:sz w:val="24"/>
          <w:szCs w:val="24"/>
        </w:rPr>
        <w:lastRenderedPageBreak/>
        <w:t>21. 备查文件目录</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（1）《广东信宜农村商业银行股份有限公司章程（2023年版）》；</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（2）载有法定代表人、财务负责人签名并盖章的财务报表；</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（3）载有会计师事务所盖章、注册会计师签名并盖章的审计报告原件。</w:t>
      </w:r>
    </w:p>
    <w:p w:rsidR="008768CC" w:rsidRDefault="008768CC" w:rsidP="008768CC">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sz w:val="24"/>
          <w:szCs w:val="24"/>
        </w:rPr>
        <w:br w:type="page"/>
      </w:r>
      <w:r>
        <w:rPr>
          <w:rFonts w:asciiTheme="minorEastAsia" w:eastAsiaTheme="minorEastAsia" w:hAnsiTheme="minorEastAsia" w:hint="eastAsia"/>
          <w:b/>
          <w:sz w:val="24"/>
          <w:szCs w:val="24"/>
        </w:rPr>
        <w:lastRenderedPageBreak/>
        <w:t>22.附件</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（1）广东信宜农村商业银行股份有限公司2023年度审计报告</w:t>
      </w:r>
    </w:p>
    <w:p w:rsidR="008768CC" w:rsidRDefault="008768CC" w:rsidP="008768CC">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（2）广东信宜农村商业银行股份有限公司主要分支机构名录</w:t>
      </w:r>
    </w:p>
    <w:p w:rsidR="008768CC" w:rsidRDefault="008768CC" w:rsidP="008768CC">
      <w:pPr>
        <w:spacing w:line="500" w:lineRule="exact"/>
        <w:ind w:firstLineChars="0" w:firstLine="0"/>
        <w:rPr>
          <w:rFonts w:asciiTheme="minorEastAsia" w:eastAsiaTheme="minorEastAsia" w:hAnsiTheme="minorEastAsia"/>
          <w:sz w:val="28"/>
          <w:szCs w:val="28"/>
        </w:rPr>
      </w:pPr>
    </w:p>
    <w:p w:rsidR="008768CC" w:rsidRDefault="008768CC" w:rsidP="008768CC">
      <w:pPr>
        <w:widowControl w:val="0"/>
        <w:spacing w:line="540" w:lineRule="exact"/>
        <w:ind w:right="150" w:firstLineChars="0" w:firstLine="0"/>
        <w:jc w:val="left"/>
        <w:rPr>
          <w:rFonts w:hAnsi="Times New Roman"/>
          <w:sz w:val="30"/>
          <w:szCs w:val="30"/>
        </w:rPr>
      </w:pPr>
    </w:p>
    <w:p w:rsidR="008768CC" w:rsidRDefault="008768CC" w:rsidP="008768CC">
      <w:pPr>
        <w:widowControl w:val="0"/>
        <w:spacing w:line="540" w:lineRule="exact"/>
        <w:ind w:firstLineChars="0" w:firstLine="0"/>
        <w:rPr>
          <w:rFonts w:ascii="黑体" w:eastAsia="黑体" w:hAnsi="Times New Roman"/>
          <w:sz w:val="28"/>
          <w:szCs w:val="30"/>
        </w:rPr>
      </w:pPr>
    </w:p>
    <w:p w:rsidR="008768CC" w:rsidRDefault="008768CC" w:rsidP="008768CC">
      <w:pPr>
        <w:ind w:firstLineChars="0" w:firstLine="0"/>
        <w:rPr>
          <w:rFonts w:hAnsi="Times New Roman"/>
        </w:rPr>
      </w:pPr>
    </w:p>
    <w:p w:rsidR="008768CC" w:rsidRDefault="008768CC" w:rsidP="008768CC">
      <w:pPr>
        <w:widowControl w:val="0"/>
        <w:spacing w:line="560" w:lineRule="exact"/>
        <w:ind w:firstLineChars="0" w:firstLine="0"/>
        <w:jc w:val="left"/>
        <w:rPr>
          <w:rFonts w:hAnsi="楷体" w:cstheme="minorBidi"/>
          <w:sz w:val="30"/>
          <w:szCs w:val="30"/>
        </w:rPr>
      </w:pPr>
    </w:p>
    <w:p w:rsidR="004401DA" w:rsidRPr="008768CC" w:rsidRDefault="004401DA"/>
    <w:sectPr w:rsidR="004401DA" w:rsidRPr="008768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959" w:rsidRDefault="004A2959" w:rsidP="008768CC">
      <w:pPr>
        <w:spacing w:line="240" w:lineRule="auto"/>
      </w:pPr>
      <w:r>
        <w:separator/>
      </w:r>
    </w:p>
  </w:endnote>
  <w:endnote w:type="continuationSeparator" w:id="0">
    <w:p w:rsidR="004A2959" w:rsidRDefault="004A2959" w:rsidP="00876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创艺简标宋">
    <w:panose1 w:val="00000000000000000000"/>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Times New Roman"/>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B55" w:rsidRDefault="004A2959">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CC" w:rsidRDefault="008768CC">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B55" w:rsidRDefault="004A2959">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908477"/>
    </w:sdtPr>
    <w:sdtEndPr/>
    <w:sdtContent>
      <w:p w:rsidR="00665B55" w:rsidRDefault="004A2959">
        <w:pPr>
          <w:pStyle w:val="af9"/>
          <w:ind w:left="4480"/>
        </w:pPr>
        <w:r>
          <w:fldChar w:fldCharType="begin"/>
        </w:r>
        <w:r>
          <w:instrText>PAGE   \* MERGEFORMAT</w:instrText>
        </w:r>
        <w:r>
          <w:fldChar w:fldCharType="separate"/>
        </w:r>
        <w:r w:rsidR="008768CC" w:rsidRPr="008768CC">
          <w:rPr>
            <w:noProof/>
            <w:lang w:val="zh-CN"/>
          </w:rPr>
          <w:t>100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959" w:rsidRDefault="004A2959" w:rsidP="008768CC">
      <w:pPr>
        <w:spacing w:line="240" w:lineRule="auto"/>
      </w:pPr>
      <w:r>
        <w:separator/>
      </w:r>
    </w:p>
  </w:footnote>
  <w:footnote w:type="continuationSeparator" w:id="0">
    <w:p w:rsidR="004A2959" w:rsidRDefault="004A2959" w:rsidP="008768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B55" w:rsidRDefault="004A295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CC" w:rsidRDefault="008768CC">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B55" w:rsidRDefault="004A2959">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B55" w:rsidRDefault="004A2959">
    <w:pPr>
      <w:ind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13989"/>
    <w:multiLevelType w:val="singleLevel"/>
    <w:tmpl w:val="27013989"/>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DD"/>
    <w:rsid w:val="00261DDD"/>
    <w:rsid w:val="004401DA"/>
    <w:rsid w:val="004A2959"/>
    <w:rsid w:val="0087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uiPriority="99"/>
    <w:lsdException w:name="page number" w:qFormat="1"/>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uiPriority="99"/>
    <w:lsdException w:name="HTML Definition" w:uiPriority="99"/>
    <w:lsdException w:name="HTML Keyboard" w:uiPriority="99"/>
    <w:lsdException w:name="HTML Preformatted" w:uiPriority="99" w:qFormat="1"/>
    <w:lsdException w:name="HTML Sample" w:uiPriority="99"/>
    <w:lsdException w:name="HTML Typewriter" w:uiPriority="99"/>
    <w:lsdException w:name="HTML Variabl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CC"/>
    <w:pPr>
      <w:spacing w:line="590" w:lineRule="exact"/>
      <w:ind w:firstLineChars="200" w:firstLine="640"/>
      <w:jc w:val="both"/>
    </w:pPr>
    <w:rPr>
      <w:rFonts w:ascii="仿宋_GB2312" w:eastAsia="仿宋_GB2312" w:hAnsi="仿宋_GB2312" w:cs="Times New Roman"/>
      <w:sz w:val="32"/>
      <w:szCs w:val="32"/>
    </w:rPr>
  </w:style>
  <w:style w:type="paragraph" w:styleId="1">
    <w:name w:val="heading 1"/>
    <w:basedOn w:val="a"/>
    <w:next w:val="a"/>
    <w:link w:val="1Char"/>
    <w:qFormat/>
    <w:rsid w:val="008768CC"/>
    <w:pPr>
      <w:keepNext/>
      <w:keepLines/>
      <w:spacing w:before="200" w:after="200" w:line="578" w:lineRule="atLeast"/>
      <w:ind w:firstLine="200"/>
      <w:outlineLvl w:val="0"/>
    </w:pPr>
    <w:rPr>
      <w:b/>
      <w:bCs/>
      <w:kern w:val="44"/>
      <w:sz w:val="36"/>
      <w:szCs w:val="44"/>
    </w:rPr>
  </w:style>
  <w:style w:type="paragraph" w:styleId="2">
    <w:name w:val="heading 2"/>
    <w:basedOn w:val="a"/>
    <w:next w:val="a"/>
    <w:link w:val="2Char"/>
    <w:unhideWhenUsed/>
    <w:qFormat/>
    <w:rsid w:val="008768CC"/>
    <w:pPr>
      <w:keepNext/>
      <w:keepLines/>
      <w:widowControl w:val="0"/>
      <w:tabs>
        <w:tab w:val="left" w:pos="840"/>
        <w:tab w:val="left" w:pos="1080"/>
      </w:tabs>
      <w:spacing w:before="260" w:after="260" w:line="415" w:lineRule="auto"/>
      <w:ind w:left="840" w:firstLineChars="0" w:hanging="420"/>
      <w:outlineLvl w:val="1"/>
    </w:pPr>
    <w:rPr>
      <w:rFonts w:ascii="Arial" w:eastAsia="黑体" w:hAnsi="Arial"/>
      <w:b/>
      <w:bCs/>
    </w:rPr>
  </w:style>
  <w:style w:type="paragraph" w:styleId="3">
    <w:name w:val="heading 3"/>
    <w:basedOn w:val="a"/>
    <w:next w:val="a"/>
    <w:link w:val="3Char"/>
    <w:qFormat/>
    <w:rsid w:val="008768CC"/>
    <w:pPr>
      <w:keepNext/>
      <w:keepLines/>
      <w:widowControl w:val="0"/>
      <w:spacing w:before="260" w:after="260" w:line="416" w:lineRule="auto"/>
      <w:ind w:firstLineChars="0" w:firstLine="0"/>
      <w:outlineLvl w:val="2"/>
    </w:pPr>
    <w:rPr>
      <w:rFonts w:ascii="宋体" w:eastAsia="宋体" w:hAnsi="宋体"/>
      <w:b/>
      <w:bCs/>
    </w:rPr>
  </w:style>
  <w:style w:type="paragraph" w:styleId="4">
    <w:name w:val="heading 4"/>
    <w:basedOn w:val="a"/>
    <w:next w:val="a"/>
    <w:link w:val="4Char"/>
    <w:unhideWhenUsed/>
    <w:qFormat/>
    <w:rsid w:val="008768CC"/>
    <w:pPr>
      <w:keepNext/>
      <w:keepLines/>
      <w:widowControl w:val="0"/>
      <w:tabs>
        <w:tab w:val="left" w:pos="864"/>
        <w:tab w:val="left" w:pos="1680"/>
      </w:tabs>
      <w:spacing w:before="280" w:after="290" w:line="374" w:lineRule="auto"/>
      <w:ind w:left="1680" w:firstLineChars="0" w:hanging="420"/>
      <w:outlineLvl w:val="3"/>
    </w:pPr>
    <w:rPr>
      <w:rFonts w:ascii="Arial" w:eastAsia="黑体" w:hAnsi="Arial"/>
      <w:b/>
      <w:bCs/>
      <w:sz w:val="28"/>
      <w:szCs w:val="28"/>
    </w:rPr>
  </w:style>
  <w:style w:type="paragraph" w:styleId="5">
    <w:name w:val="heading 5"/>
    <w:basedOn w:val="a"/>
    <w:next w:val="a"/>
    <w:link w:val="5Char"/>
    <w:unhideWhenUsed/>
    <w:qFormat/>
    <w:rsid w:val="008768CC"/>
    <w:pPr>
      <w:keepNext/>
      <w:keepLines/>
      <w:widowControl w:val="0"/>
      <w:tabs>
        <w:tab w:val="left" w:pos="1008"/>
        <w:tab w:val="left" w:pos="2100"/>
      </w:tabs>
      <w:spacing w:before="280" w:after="290" w:line="374" w:lineRule="auto"/>
      <w:ind w:left="2100" w:firstLineChars="0" w:hanging="420"/>
      <w:outlineLvl w:val="4"/>
    </w:pPr>
    <w:rPr>
      <w:rFonts w:ascii="Times New Roman" w:eastAsia="宋体" w:hAnsi="Times New Roman"/>
      <w:b/>
      <w:bCs/>
      <w:sz w:val="28"/>
      <w:szCs w:val="28"/>
    </w:rPr>
  </w:style>
  <w:style w:type="paragraph" w:styleId="6">
    <w:name w:val="heading 6"/>
    <w:basedOn w:val="a"/>
    <w:next w:val="a"/>
    <w:link w:val="6Char"/>
    <w:unhideWhenUsed/>
    <w:qFormat/>
    <w:rsid w:val="008768CC"/>
    <w:pPr>
      <w:keepNext/>
      <w:keepLines/>
      <w:widowControl w:val="0"/>
      <w:tabs>
        <w:tab w:val="left" w:pos="1152"/>
        <w:tab w:val="left" w:pos="2520"/>
      </w:tabs>
      <w:spacing w:before="240" w:after="64" w:line="319" w:lineRule="auto"/>
      <w:ind w:left="2520" w:firstLineChars="0" w:hanging="420"/>
      <w:outlineLvl w:val="5"/>
    </w:pPr>
    <w:rPr>
      <w:rFonts w:ascii="Arial" w:eastAsia="黑体" w:hAnsi="Arial"/>
      <w:b/>
      <w:bCs/>
      <w:sz w:val="24"/>
      <w:szCs w:val="24"/>
    </w:rPr>
  </w:style>
  <w:style w:type="paragraph" w:styleId="7">
    <w:name w:val="heading 7"/>
    <w:basedOn w:val="a"/>
    <w:next w:val="a"/>
    <w:link w:val="7Char"/>
    <w:unhideWhenUsed/>
    <w:qFormat/>
    <w:rsid w:val="008768CC"/>
    <w:pPr>
      <w:keepNext/>
      <w:keepLines/>
      <w:widowControl w:val="0"/>
      <w:tabs>
        <w:tab w:val="left" w:pos="1296"/>
        <w:tab w:val="left" w:pos="2940"/>
      </w:tabs>
      <w:spacing w:before="240" w:after="64" w:line="319" w:lineRule="auto"/>
      <w:ind w:left="2940" w:firstLineChars="0" w:hanging="420"/>
      <w:outlineLvl w:val="6"/>
    </w:pPr>
    <w:rPr>
      <w:rFonts w:ascii="Times New Roman" w:eastAsia="宋体" w:hAnsi="Times New Roman"/>
      <w:b/>
      <w:bCs/>
      <w:sz w:val="24"/>
      <w:szCs w:val="24"/>
    </w:rPr>
  </w:style>
  <w:style w:type="paragraph" w:styleId="8">
    <w:name w:val="heading 8"/>
    <w:basedOn w:val="a"/>
    <w:next w:val="a"/>
    <w:link w:val="8Char"/>
    <w:unhideWhenUsed/>
    <w:qFormat/>
    <w:rsid w:val="008768CC"/>
    <w:pPr>
      <w:keepNext/>
      <w:keepLines/>
      <w:widowControl w:val="0"/>
      <w:tabs>
        <w:tab w:val="left" w:pos="1440"/>
        <w:tab w:val="left" w:pos="3360"/>
      </w:tabs>
      <w:spacing w:before="240" w:after="64" w:line="319" w:lineRule="auto"/>
      <w:ind w:left="3360" w:firstLineChars="0" w:hanging="420"/>
      <w:outlineLvl w:val="7"/>
    </w:pPr>
    <w:rPr>
      <w:rFonts w:ascii="Arial" w:eastAsia="黑体" w:hAnsi="Arial"/>
      <w:sz w:val="24"/>
      <w:szCs w:val="24"/>
    </w:rPr>
  </w:style>
  <w:style w:type="paragraph" w:styleId="9">
    <w:name w:val="heading 9"/>
    <w:basedOn w:val="a"/>
    <w:next w:val="a"/>
    <w:link w:val="9Char"/>
    <w:unhideWhenUsed/>
    <w:qFormat/>
    <w:rsid w:val="008768CC"/>
    <w:pPr>
      <w:keepNext/>
      <w:keepLines/>
      <w:widowControl w:val="0"/>
      <w:tabs>
        <w:tab w:val="left" w:pos="1584"/>
        <w:tab w:val="left" w:pos="3780"/>
      </w:tabs>
      <w:spacing w:before="240" w:after="64" w:line="319" w:lineRule="auto"/>
      <w:ind w:left="3780" w:firstLineChars="0" w:hanging="420"/>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768CC"/>
    <w:rPr>
      <w:rFonts w:ascii="仿宋_GB2312" w:eastAsia="仿宋_GB2312" w:hAnsi="仿宋_GB2312" w:cs="Times New Roman"/>
      <w:b/>
      <w:bCs/>
      <w:kern w:val="44"/>
      <w:sz w:val="36"/>
      <w:szCs w:val="44"/>
    </w:rPr>
  </w:style>
  <w:style w:type="character" w:customStyle="1" w:styleId="2Char">
    <w:name w:val="标题 2 Char"/>
    <w:basedOn w:val="a0"/>
    <w:link w:val="2"/>
    <w:qFormat/>
    <w:rsid w:val="008768CC"/>
    <w:rPr>
      <w:rFonts w:ascii="Arial" w:eastAsia="黑体" w:hAnsi="Arial" w:cs="Times New Roman"/>
      <w:b/>
      <w:bCs/>
      <w:sz w:val="32"/>
      <w:szCs w:val="32"/>
    </w:rPr>
  </w:style>
  <w:style w:type="character" w:customStyle="1" w:styleId="3Char">
    <w:name w:val="标题 3 Char"/>
    <w:basedOn w:val="a0"/>
    <w:link w:val="3"/>
    <w:qFormat/>
    <w:rsid w:val="008768CC"/>
    <w:rPr>
      <w:rFonts w:ascii="宋体" w:eastAsia="宋体" w:hAnsi="宋体" w:cs="Times New Roman"/>
      <w:b/>
      <w:bCs/>
      <w:sz w:val="32"/>
      <w:szCs w:val="32"/>
    </w:rPr>
  </w:style>
  <w:style w:type="character" w:customStyle="1" w:styleId="4Char">
    <w:name w:val="标题 4 Char"/>
    <w:basedOn w:val="a0"/>
    <w:link w:val="4"/>
    <w:qFormat/>
    <w:rsid w:val="008768CC"/>
    <w:rPr>
      <w:rFonts w:ascii="Arial" w:eastAsia="黑体" w:hAnsi="Arial" w:cs="Times New Roman"/>
      <w:b/>
      <w:bCs/>
      <w:sz w:val="28"/>
      <w:szCs w:val="28"/>
    </w:rPr>
  </w:style>
  <w:style w:type="character" w:customStyle="1" w:styleId="5Char">
    <w:name w:val="标题 5 Char"/>
    <w:basedOn w:val="a0"/>
    <w:link w:val="5"/>
    <w:qFormat/>
    <w:rsid w:val="008768CC"/>
    <w:rPr>
      <w:rFonts w:ascii="Times New Roman" w:eastAsia="宋体" w:hAnsi="Times New Roman" w:cs="Times New Roman"/>
      <w:b/>
      <w:bCs/>
      <w:sz w:val="28"/>
      <w:szCs w:val="28"/>
    </w:rPr>
  </w:style>
  <w:style w:type="character" w:customStyle="1" w:styleId="6Char">
    <w:name w:val="标题 6 Char"/>
    <w:basedOn w:val="a0"/>
    <w:link w:val="6"/>
    <w:qFormat/>
    <w:rsid w:val="008768CC"/>
    <w:rPr>
      <w:rFonts w:ascii="Arial" w:eastAsia="黑体" w:hAnsi="Arial" w:cs="Times New Roman"/>
      <w:b/>
      <w:bCs/>
      <w:sz w:val="24"/>
      <w:szCs w:val="24"/>
    </w:rPr>
  </w:style>
  <w:style w:type="character" w:customStyle="1" w:styleId="7Char">
    <w:name w:val="标题 7 Char"/>
    <w:basedOn w:val="a0"/>
    <w:link w:val="7"/>
    <w:qFormat/>
    <w:rsid w:val="008768CC"/>
    <w:rPr>
      <w:rFonts w:ascii="Times New Roman" w:eastAsia="宋体" w:hAnsi="Times New Roman" w:cs="Times New Roman"/>
      <w:b/>
      <w:bCs/>
      <w:sz w:val="24"/>
      <w:szCs w:val="24"/>
    </w:rPr>
  </w:style>
  <w:style w:type="character" w:customStyle="1" w:styleId="8Char">
    <w:name w:val="标题 8 Char"/>
    <w:basedOn w:val="a0"/>
    <w:link w:val="8"/>
    <w:qFormat/>
    <w:rsid w:val="008768CC"/>
    <w:rPr>
      <w:rFonts w:ascii="Arial" w:eastAsia="黑体" w:hAnsi="Arial" w:cs="Times New Roman"/>
      <w:sz w:val="24"/>
      <w:szCs w:val="24"/>
    </w:rPr>
  </w:style>
  <w:style w:type="character" w:customStyle="1" w:styleId="9Char">
    <w:name w:val="标题 9 Char"/>
    <w:basedOn w:val="a0"/>
    <w:link w:val="9"/>
    <w:qFormat/>
    <w:rsid w:val="008768CC"/>
    <w:rPr>
      <w:rFonts w:ascii="Arial" w:eastAsia="黑体" w:hAnsi="Arial" w:cs="Times New Roman"/>
      <w:szCs w:val="21"/>
    </w:rPr>
  </w:style>
  <w:style w:type="paragraph" w:styleId="a3">
    <w:name w:val="macro"/>
    <w:link w:val="Char"/>
    <w:unhideWhenUsed/>
    <w:qFormat/>
    <w:rsid w:val="008768C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0"/>
      <w:sz w:val="24"/>
      <w:szCs w:val="24"/>
    </w:rPr>
  </w:style>
  <w:style w:type="character" w:customStyle="1" w:styleId="Char">
    <w:name w:val="宏文本 Char"/>
    <w:basedOn w:val="a0"/>
    <w:link w:val="a3"/>
    <w:qFormat/>
    <w:rsid w:val="008768CC"/>
    <w:rPr>
      <w:rFonts w:ascii="Courier New" w:eastAsia="宋体" w:hAnsi="Courier New" w:cs="Courier New"/>
      <w:kern w:val="0"/>
      <w:sz w:val="24"/>
      <w:szCs w:val="24"/>
    </w:rPr>
  </w:style>
  <w:style w:type="paragraph" w:styleId="30">
    <w:name w:val="List 3"/>
    <w:basedOn w:val="a"/>
    <w:unhideWhenUsed/>
    <w:qFormat/>
    <w:rsid w:val="008768CC"/>
    <w:pPr>
      <w:widowControl w:val="0"/>
      <w:spacing w:line="240" w:lineRule="auto"/>
      <w:ind w:leftChars="400" w:left="100" w:hangingChars="200" w:hanging="200"/>
    </w:pPr>
    <w:rPr>
      <w:rFonts w:ascii="Times New Roman" w:eastAsia="宋体" w:hAnsi="Times New Roman"/>
      <w:sz w:val="21"/>
      <w:szCs w:val="24"/>
    </w:rPr>
  </w:style>
  <w:style w:type="paragraph" w:styleId="70">
    <w:name w:val="toc 7"/>
    <w:basedOn w:val="a"/>
    <w:next w:val="a"/>
    <w:unhideWhenUsed/>
    <w:qFormat/>
    <w:rsid w:val="008768CC"/>
    <w:pPr>
      <w:widowControl w:val="0"/>
      <w:spacing w:line="240" w:lineRule="auto"/>
      <w:ind w:left="1260" w:firstLineChars="0" w:firstLine="0"/>
      <w:jc w:val="left"/>
    </w:pPr>
    <w:rPr>
      <w:rFonts w:ascii="Calibri" w:eastAsia="宋体" w:hAnsi="Calibri"/>
      <w:sz w:val="18"/>
      <w:szCs w:val="18"/>
    </w:rPr>
  </w:style>
  <w:style w:type="paragraph" w:styleId="20">
    <w:name w:val="List Number 2"/>
    <w:basedOn w:val="a"/>
    <w:unhideWhenUsed/>
    <w:qFormat/>
    <w:rsid w:val="008768CC"/>
    <w:pPr>
      <w:widowControl w:val="0"/>
      <w:tabs>
        <w:tab w:val="left" w:pos="780"/>
        <w:tab w:val="left" w:pos="851"/>
      </w:tabs>
      <w:spacing w:line="240" w:lineRule="auto"/>
      <w:ind w:left="425" w:firstLineChars="0" w:hanging="425"/>
    </w:pPr>
    <w:rPr>
      <w:rFonts w:ascii="Times New Roman" w:eastAsia="宋体" w:hAnsi="Times New Roman"/>
      <w:sz w:val="21"/>
      <w:szCs w:val="24"/>
    </w:rPr>
  </w:style>
  <w:style w:type="paragraph" w:styleId="a4">
    <w:name w:val="table of authorities"/>
    <w:basedOn w:val="a"/>
    <w:next w:val="a"/>
    <w:unhideWhenUsed/>
    <w:qFormat/>
    <w:rsid w:val="008768CC"/>
    <w:pPr>
      <w:widowControl w:val="0"/>
      <w:spacing w:line="240" w:lineRule="auto"/>
      <w:ind w:leftChars="200" w:left="420" w:firstLineChars="0" w:firstLine="0"/>
    </w:pPr>
    <w:rPr>
      <w:rFonts w:ascii="Times New Roman" w:eastAsia="宋体" w:hAnsi="Times New Roman"/>
      <w:sz w:val="21"/>
      <w:szCs w:val="24"/>
    </w:rPr>
  </w:style>
  <w:style w:type="paragraph" w:styleId="a5">
    <w:name w:val="Note Heading"/>
    <w:basedOn w:val="a"/>
    <w:next w:val="a"/>
    <w:link w:val="Char0"/>
    <w:unhideWhenUsed/>
    <w:qFormat/>
    <w:rsid w:val="008768CC"/>
    <w:pPr>
      <w:widowControl w:val="0"/>
      <w:spacing w:line="240" w:lineRule="auto"/>
      <w:ind w:firstLineChars="0" w:firstLine="0"/>
      <w:jc w:val="center"/>
    </w:pPr>
    <w:rPr>
      <w:rFonts w:ascii="Times New Roman" w:eastAsia="宋体" w:hAnsi="Times New Roman"/>
      <w:kern w:val="0"/>
      <w:sz w:val="20"/>
      <w:szCs w:val="24"/>
    </w:rPr>
  </w:style>
  <w:style w:type="character" w:customStyle="1" w:styleId="Char0">
    <w:name w:val="注释标题 Char"/>
    <w:basedOn w:val="a0"/>
    <w:link w:val="a5"/>
    <w:qFormat/>
    <w:rsid w:val="008768CC"/>
    <w:rPr>
      <w:rFonts w:ascii="Times New Roman" w:eastAsia="宋体" w:hAnsi="Times New Roman" w:cs="Times New Roman"/>
      <w:kern w:val="0"/>
      <w:sz w:val="20"/>
      <w:szCs w:val="24"/>
    </w:rPr>
  </w:style>
  <w:style w:type="paragraph" w:styleId="40">
    <w:name w:val="List Bullet 4"/>
    <w:basedOn w:val="a"/>
    <w:unhideWhenUsed/>
    <w:qFormat/>
    <w:rsid w:val="008768CC"/>
    <w:pPr>
      <w:widowControl w:val="0"/>
      <w:tabs>
        <w:tab w:val="left" w:pos="1080"/>
        <w:tab w:val="left" w:pos="1620"/>
      </w:tabs>
      <w:spacing w:line="240" w:lineRule="auto"/>
      <w:ind w:left="1080" w:firstLineChars="0" w:hanging="1080"/>
    </w:pPr>
    <w:rPr>
      <w:rFonts w:ascii="Times New Roman" w:eastAsia="宋体" w:hAnsi="Times New Roman"/>
      <w:sz w:val="21"/>
      <w:szCs w:val="24"/>
    </w:rPr>
  </w:style>
  <w:style w:type="paragraph" w:styleId="80">
    <w:name w:val="index 8"/>
    <w:basedOn w:val="a"/>
    <w:next w:val="a"/>
    <w:unhideWhenUsed/>
    <w:qFormat/>
    <w:rsid w:val="008768CC"/>
    <w:pPr>
      <w:widowControl w:val="0"/>
      <w:spacing w:line="240" w:lineRule="auto"/>
      <w:ind w:leftChars="1400" w:left="1400" w:firstLineChars="0" w:firstLine="0"/>
    </w:pPr>
    <w:rPr>
      <w:rFonts w:ascii="Times New Roman" w:eastAsia="宋体" w:hAnsi="Times New Roman"/>
      <w:sz w:val="21"/>
      <w:szCs w:val="24"/>
    </w:rPr>
  </w:style>
  <w:style w:type="paragraph" w:styleId="a6">
    <w:name w:val="E-mail Signature"/>
    <w:basedOn w:val="a"/>
    <w:link w:val="Char1"/>
    <w:unhideWhenUsed/>
    <w:qFormat/>
    <w:rsid w:val="008768CC"/>
    <w:pPr>
      <w:widowControl w:val="0"/>
      <w:spacing w:line="240" w:lineRule="auto"/>
      <w:ind w:firstLineChars="0" w:firstLine="0"/>
    </w:pPr>
    <w:rPr>
      <w:rFonts w:ascii="Times New Roman" w:eastAsia="宋体" w:hAnsi="Times New Roman"/>
      <w:kern w:val="0"/>
      <w:sz w:val="20"/>
      <w:szCs w:val="24"/>
    </w:rPr>
  </w:style>
  <w:style w:type="character" w:customStyle="1" w:styleId="Char1">
    <w:name w:val="电子邮件签名 Char"/>
    <w:basedOn w:val="a0"/>
    <w:link w:val="a6"/>
    <w:qFormat/>
    <w:rsid w:val="008768CC"/>
    <w:rPr>
      <w:rFonts w:ascii="Times New Roman" w:eastAsia="宋体" w:hAnsi="Times New Roman" w:cs="Times New Roman"/>
      <w:kern w:val="0"/>
      <w:sz w:val="20"/>
      <w:szCs w:val="24"/>
    </w:rPr>
  </w:style>
  <w:style w:type="paragraph" w:styleId="a7">
    <w:name w:val="List Number"/>
    <w:basedOn w:val="a"/>
    <w:unhideWhenUsed/>
    <w:qFormat/>
    <w:rsid w:val="008768CC"/>
    <w:pPr>
      <w:widowControl w:val="0"/>
      <w:tabs>
        <w:tab w:val="left" w:pos="360"/>
        <w:tab w:val="left" w:pos="1080"/>
      </w:tabs>
      <w:spacing w:line="240" w:lineRule="auto"/>
      <w:ind w:left="1080" w:firstLineChars="0" w:hanging="1080"/>
    </w:pPr>
    <w:rPr>
      <w:rFonts w:ascii="Times New Roman" w:eastAsia="宋体" w:hAnsi="Times New Roman"/>
      <w:sz w:val="21"/>
      <w:szCs w:val="24"/>
    </w:rPr>
  </w:style>
  <w:style w:type="paragraph" w:styleId="a8">
    <w:name w:val="Normal Indent"/>
    <w:basedOn w:val="a"/>
    <w:unhideWhenUsed/>
    <w:qFormat/>
    <w:rsid w:val="008768CC"/>
    <w:pPr>
      <w:widowControl w:val="0"/>
      <w:spacing w:line="240" w:lineRule="auto"/>
      <w:ind w:firstLine="420"/>
    </w:pPr>
    <w:rPr>
      <w:rFonts w:ascii="Times New Roman" w:eastAsia="宋体" w:hAnsi="Times New Roman"/>
      <w:sz w:val="21"/>
      <w:szCs w:val="24"/>
    </w:rPr>
  </w:style>
  <w:style w:type="paragraph" w:styleId="a9">
    <w:name w:val="caption"/>
    <w:basedOn w:val="a"/>
    <w:next w:val="a"/>
    <w:qFormat/>
    <w:rsid w:val="008768CC"/>
    <w:pPr>
      <w:widowControl w:val="0"/>
      <w:spacing w:line="240" w:lineRule="auto"/>
      <w:ind w:firstLineChars="0" w:firstLine="0"/>
    </w:pPr>
    <w:rPr>
      <w:rFonts w:ascii="Arial" w:eastAsia="黑体" w:hAnsi="Arial" w:cs="Arial"/>
      <w:sz w:val="20"/>
      <w:szCs w:val="20"/>
    </w:rPr>
  </w:style>
  <w:style w:type="paragraph" w:styleId="50">
    <w:name w:val="index 5"/>
    <w:basedOn w:val="a"/>
    <w:next w:val="a"/>
    <w:unhideWhenUsed/>
    <w:qFormat/>
    <w:rsid w:val="008768CC"/>
    <w:pPr>
      <w:widowControl w:val="0"/>
      <w:spacing w:line="240" w:lineRule="auto"/>
      <w:ind w:leftChars="800" w:left="800" w:firstLineChars="0" w:firstLine="0"/>
    </w:pPr>
    <w:rPr>
      <w:rFonts w:ascii="Times New Roman" w:eastAsia="宋体" w:hAnsi="Times New Roman"/>
      <w:sz w:val="21"/>
      <w:szCs w:val="24"/>
    </w:rPr>
  </w:style>
  <w:style w:type="paragraph" w:styleId="aa">
    <w:name w:val="List Bullet"/>
    <w:basedOn w:val="a"/>
    <w:unhideWhenUsed/>
    <w:qFormat/>
    <w:rsid w:val="008768CC"/>
    <w:pPr>
      <w:widowControl w:val="0"/>
      <w:tabs>
        <w:tab w:val="left" w:pos="360"/>
        <w:tab w:val="left" w:pos="1080"/>
      </w:tabs>
      <w:spacing w:line="240" w:lineRule="auto"/>
      <w:ind w:left="1080" w:firstLineChars="0" w:hanging="1080"/>
    </w:pPr>
    <w:rPr>
      <w:rFonts w:ascii="Times New Roman" w:eastAsia="宋体" w:hAnsi="Times New Roman"/>
      <w:sz w:val="21"/>
      <w:szCs w:val="24"/>
    </w:rPr>
  </w:style>
  <w:style w:type="paragraph" w:styleId="ab">
    <w:name w:val="envelope address"/>
    <w:basedOn w:val="a"/>
    <w:unhideWhenUsed/>
    <w:qFormat/>
    <w:rsid w:val="008768CC"/>
    <w:pPr>
      <w:framePr w:w="7920" w:h="1980" w:hSpace="180" w:wrap="around" w:hAnchor="page" w:xAlign="center" w:yAlign="bottom"/>
      <w:widowControl w:val="0"/>
      <w:snapToGrid w:val="0"/>
      <w:spacing w:line="240" w:lineRule="auto"/>
      <w:ind w:leftChars="1400" w:left="100" w:firstLineChars="0" w:firstLine="0"/>
    </w:pPr>
    <w:rPr>
      <w:rFonts w:ascii="Arial" w:eastAsia="宋体" w:hAnsi="Arial" w:cs="Arial"/>
      <w:sz w:val="24"/>
      <w:szCs w:val="24"/>
    </w:rPr>
  </w:style>
  <w:style w:type="paragraph" w:styleId="ac">
    <w:name w:val="Document Map"/>
    <w:basedOn w:val="a"/>
    <w:link w:val="Char2"/>
    <w:unhideWhenUsed/>
    <w:qFormat/>
    <w:rsid w:val="008768CC"/>
    <w:pPr>
      <w:widowControl w:val="0"/>
      <w:shd w:val="clear" w:color="auto" w:fill="000080"/>
      <w:spacing w:line="240" w:lineRule="auto"/>
      <w:ind w:firstLineChars="0" w:firstLine="0"/>
    </w:pPr>
    <w:rPr>
      <w:rFonts w:ascii="Calibri" w:eastAsia="宋体" w:hAnsi="Calibri"/>
      <w:kern w:val="0"/>
      <w:sz w:val="20"/>
      <w:szCs w:val="21"/>
    </w:rPr>
  </w:style>
  <w:style w:type="character" w:customStyle="1" w:styleId="Char2">
    <w:name w:val="文档结构图 Char"/>
    <w:basedOn w:val="a0"/>
    <w:link w:val="ac"/>
    <w:qFormat/>
    <w:rsid w:val="008768CC"/>
    <w:rPr>
      <w:rFonts w:ascii="Calibri" w:eastAsia="宋体" w:hAnsi="Calibri" w:cs="Times New Roman"/>
      <w:kern w:val="0"/>
      <w:sz w:val="20"/>
      <w:szCs w:val="21"/>
      <w:shd w:val="clear" w:color="auto" w:fill="000080"/>
    </w:rPr>
  </w:style>
  <w:style w:type="paragraph" w:styleId="ad">
    <w:name w:val="toa heading"/>
    <w:basedOn w:val="a"/>
    <w:next w:val="a"/>
    <w:unhideWhenUsed/>
    <w:qFormat/>
    <w:rsid w:val="008768CC"/>
    <w:pPr>
      <w:widowControl w:val="0"/>
      <w:spacing w:before="120" w:line="240" w:lineRule="auto"/>
      <w:ind w:firstLineChars="0" w:firstLine="0"/>
    </w:pPr>
    <w:rPr>
      <w:rFonts w:ascii="Arial" w:eastAsia="宋体" w:hAnsi="Arial" w:cs="Arial"/>
      <w:sz w:val="24"/>
      <w:szCs w:val="24"/>
    </w:rPr>
  </w:style>
  <w:style w:type="paragraph" w:styleId="ae">
    <w:name w:val="annotation text"/>
    <w:basedOn w:val="a"/>
    <w:link w:val="Char10"/>
    <w:unhideWhenUsed/>
    <w:qFormat/>
    <w:rsid w:val="008768CC"/>
    <w:pPr>
      <w:widowControl w:val="0"/>
      <w:spacing w:line="240" w:lineRule="auto"/>
      <w:ind w:firstLineChars="0" w:firstLine="0"/>
      <w:jc w:val="left"/>
    </w:pPr>
    <w:rPr>
      <w:rFonts w:ascii="Times New Roman" w:eastAsia="宋体" w:hAnsi="Times New Roman"/>
      <w:sz w:val="21"/>
      <w:szCs w:val="24"/>
    </w:rPr>
  </w:style>
  <w:style w:type="character" w:customStyle="1" w:styleId="Char3">
    <w:name w:val="批注文字 Char"/>
    <w:basedOn w:val="a0"/>
    <w:qFormat/>
    <w:rsid w:val="008768CC"/>
    <w:rPr>
      <w:rFonts w:ascii="仿宋_GB2312" w:eastAsia="仿宋_GB2312" w:hAnsi="仿宋_GB2312" w:cs="Times New Roman"/>
      <w:sz w:val="32"/>
      <w:szCs w:val="32"/>
    </w:rPr>
  </w:style>
  <w:style w:type="paragraph" w:styleId="60">
    <w:name w:val="index 6"/>
    <w:basedOn w:val="a"/>
    <w:next w:val="a"/>
    <w:unhideWhenUsed/>
    <w:qFormat/>
    <w:rsid w:val="008768CC"/>
    <w:pPr>
      <w:widowControl w:val="0"/>
      <w:spacing w:line="240" w:lineRule="auto"/>
      <w:ind w:leftChars="1000" w:left="1000" w:firstLineChars="0" w:firstLine="0"/>
    </w:pPr>
    <w:rPr>
      <w:rFonts w:ascii="Times New Roman" w:eastAsia="宋体" w:hAnsi="Times New Roman"/>
      <w:sz w:val="21"/>
      <w:szCs w:val="24"/>
    </w:rPr>
  </w:style>
  <w:style w:type="paragraph" w:styleId="af">
    <w:name w:val="Salutation"/>
    <w:basedOn w:val="a"/>
    <w:next w:val="a"/>
    <w:link w:val="Char4"/>
    <w:unhideWhenUsed/>
    <w:qFormat/>
    <w:rsid w:val="008768CC"/>
    <w:pPr>
      <w:widowControl w:val="0"/>
      <w:spacing w:line="240" w:lineRule="auto"/>
      <w:ind w:firstLineChars="0" w:firstLine="0"/>
    </w:pPr>
    <w:rPr>
      <w:rFonts w:ascii="Times New Roman" w:eastAsia="宋体" w:hAnsi="Times New Roman"/>
      <w:kern w:val="0"/>
      <w:sz w:val="20"/>
      <w:szCs w:val="24"/>
    </w:rPr>
  </w:style>
  <w:style w:type="character" w:customStyle="1" w:styleId="Char4">
    <w:name w:val="称呼 Char"/>
    <w:basedOn w:val="a0"/>
    <w:link w:val="af"/>
    <w:qFormat/>
    <w:rsid w:val="008768CC"/>
    <w:rPr>
      <w:rFonts w:ascii="Times New Roman" w:eastAsia="宋体" w:hAnsi="Times New Roman" w:cs="Times New Roman"/>
      <w:kern w:val="0"/>
      <w:sz w:val="20"/>
      <w:szCs w:val="24"/>
    </w:rPr>
  </w:style>
  <w:style w:type="paragraph" w:styleId="31">
    <w:name w:val="Body Text 3"/>
    <w:basedOn w:val="a"/>
    <w:link w:val="3Char0"/>
    <w:unhideWhenUsed/>
    <w:qFormat/>
    <w:rsid w:val="008768CC"/>
    <w:pPr>
      <w:widowControl w:val="0"/>
      <w:spacing w:after="120" w:line="240" w:lineRule="auto"/>
      <w:ind w:firstLineChars="0" w:firstLine="0"/>
    </w:pPr>
    <w:rPr>
      <w:rFonts w:ascii="Times New Roman" w:eastAsia="宋体" w:hAnsi="Times New Roman"/>
      <w:kern w:val="0"/>
      <w:sz w:val="16"/>
      <w:szCs w:val="16"/>
    </w:rPr>
  </w:style>
  <w:style w:type="character" w:customStyle="1" w:styleId="3Char0">
    <w:name w:val="正文文本 3 Char"/>
    <w:basedOn w:val="a0"/>
    <w:link w:val="31"/>
    <w:qFormat/>
    <w:rsid w:val="008768CC"/>
    <w:rPr>
      <w:rFonts w:ascii="Times New Roman" w:eastAsia="宋体" w:hAnsi="Times New Roman" w:cs="Times New Roman"/>
      <w:kern w:val="0"/>
      <w:sz w:val="16"/>
      <w:szCs w:val="16"/>
    </w:rPr>
  </w:style>
  <w:style w:type="paragraph" w:styleId="af0">
    <w:name w:val="Closing"/>
    <w:basedOn w:val="a"/>
    <w:link w:val="Char5"/>
    <w:unhideWhenUsed/>
    <w:qFormat/>
    <w:rsid w:val="008768CC"/>
    <w:pPr>
      <w:widowControl w:val="0"/>
      <w:spacing w:line="240" w:lineRule="auto"/>
      <w:ind w:leftChars="2100" w:left="100" w:firstLineChars="0" w:firstLine="0"/>
    </w:pPr>
    <w:rPr>
      <w:rFonts w:ascii="Times New Roman" w:eastAsia="宋体" w:hAnsi="Times New Roman"/>
      <w:kern w:val="0"/>
      <w:sz w:val="20"/>
      <w:szCs w:val="24"/>
    </w:rPr>
  </w:style>
  <w:style w:type="character" w:customStyle="1" w:styleId="Char5">
    <w:name w:val="结束语 Char"/>
    <w:basedOn w:val="a0"/>
    <w:link w:val="af0"/>
    <w:qFormat/>
    <w:rsid w:val="008768CC"/>
    <w:rPr>
      <w:rFonts w:ascii="Times New Roman" w:eastAsia="宋体" w:hAnsi="Times New Roman" w:cs="Times New Roman"/>
      <w:kern w:val="0"/>
      <w:sz w:val="20"/>
      <w:szCs w:val="24"/>
    </w:rPr>
  </w:style>
  <w:style w:type="paragraph" w:styleId="32">
    <w:name w:val="List Bullet 3"/>
    <w:basedOn w:val="a"/>
    <w:unhideWhenUsed/>
    <w:qFormat/>
    <w:rsid w:val="008768CC"/>
    <w:pPr>
      <w:widowControl w:val="0"/>
      <w:tabs>
        <w:tab w:val="left" w:pos="1110"/>
        <w:tab w:val="left" w:pos="1200"/>
      </w:tabs>
      <w:spacing w:line="240" w:lineRule="auto"/>
      <w:ind w:left="1110" w:firstLineChars="0" w:hanging="750"/>
    </w:pPr>
    <w:rPr>
      <w:rFonts w:ascii="Times New Roman" w:eastAsia="宋体" w:hAnsi="Times New Roman"/>
      <w:sz w:val="21"/>
      <w:szCs w:val="24"/>
    </w:rPr>
  </w:style>
  <w:style w:type="paragraph" w:styleId="af1">
    <w:name w:val="Body Text"/>
    <w:basedOn w:val="a"/>
    <w:link w:val="Char6"/>
    <w:unhideWhenUsed/>
    <w:qFormat/>
    <w:rsid w:val="008768CC"/>
    <w:pPr>
      <w:spacing w:after="120"/>
    </w:pPr>
  </w:style>
  <w:style w:type="character" w:customStyle="1" w:styleId="Char6">
    <w:name w:val="正文文本 Char"/>
    <w:basedOn w:val="a0"/>
    <w:link w:val="af1"/>
    <w:qFormat/>
    <w:rsid w:val="008768CC"/>
    <w:rPr>
      <w:rFonts w:ascii="仿宋_GB2312" w:eastAsia="仿宋_GB2312" w:hAnsi="仿宋_GB2312" w:cs="Times New Roman"/>
      <w:sz w:val="32"/>
      <w:szCs w:val="32"/>
    </w:rPr>
  </w:style>
  <w:style w:type="paragraph" w:styleId="af2">
    <w:name w:val="Body Text Indent"/>
    <w:basedOn w:val="a"/>
    <w:link w:val="Char11"/>
    <w:qFormat/>
    <w:rsid w:val="008768CC"/>
    <w:pPr>
      <w:widowControl w:val="0"/>
      <w:snapToGrid w:val="0"/>
      <w:spacing w:line="240" w:lineRule="auto"/>
      <w:ind w:left="1260" w:firstLineChars="0" w:hanging="1260"/>
    </w:pPr>
    <w:rPr>
      <w:rFonts w:ascii="楷体_GB2312" w:eastAsia="楷体_GB2312" w:hAnsi="宋体"/>
      <w:sz w:val="24"/>
      <w:szCs w:val="20"/>
    </w:rPr>
  </w:style>
  <w:style w:type="character" w:customStyle="1" w:styleId="Char7">
    <w:name w:val="正文文本缩进 Char"/>
    <w:basedOn w:val="a0"/>
    <w:qFormat/>
    <w:rsid w:val="008768CC"/>
    <w:rPr>
      <w:rFonts w:ascii="仿宋_GB2312" w:eastAsia="仿宋_GB2312" w:hAnsi="仿宋_GB2312" w:cs="Times New Roman"/>
      <w:sz w:val="32"/>
      <w:szCs w:val="32"/>
    </w:rPr>
  </w:style>
  <w:style w:type="paragraph" w:styleId="33">
    <w:name w:val="List Number 3"/>
    <w:basedOn w:val="a"/>
    <w:unhideWhenUsed/>
    <w:qFormat/>
    <w:rsid w:val="008768CC"/>
    <w:pPr>
      <w:widowControl w:val="0"/>
      <w:tabs>
        <w:tab w:val="left" w:pos="1080"/>
        <w:tab w:val="left" w:pos="1200"/>
      </w:tabs>
      <w:spacing w:line="240" w:lineRule="auto"/>
      <w:ind w:left="1080" w:firstLineChars="0" w:hanging="1080"/>
    </w:pPr>
    <w:rPr>
      <w:rFonts w:ascii="Times New Roman" w:eastAsia="宋体" w:hAnsi="Times New Roman"/>
      <w:sz w:val="21"/>
      <w:szCs w:val="24"/>
    </w:rPr>
  </w:style>
  <w:style w:type="paragraph" w:styleId="21">
    <w:name w:val="List 2"/>
    <w:basedOn w:val="a"/>
    <w:unhideWhenUsed/>
    <w:qFormat/>
    <w:rsid w:val="008768CC"/>
    <w:pPr>
      <w:widowControl w:val="0"/>
      <w:spacing w:line="240" w:lineRule="auto"/>
      <w:ind w:leftChars="200" w:left="100" w:hangingChars="200" w:hanging="200"/>
    </w:pPr>
    <w:rPr>
      <w:rFonts w:ascii="Times New Roman" w:eastAsia="宋体" w:hAnsi="Times New Roman"/>
      <w:sz w:val="21"/>
      <w:szCs w:val="24"/>
    </w:rPr>
  </w:style>
  <w:style w:type="paragraph" w:styleId="af3">
    <w:name w:val="List Continue"/>
    <w:basedOn w:val="a"/>
    <w:unhideWhenUsed/>
    <w:qFormat/>
    <w:rsid w:val="008768CC"/>
    <w:pPr>
      <w:widowControl w:val="0"/>
      <w:spacing w:after="120" w:line="240" w:lineRule="auto"/>
      <w:ind w:leftChars="200" w:left="420" w:firstLineChars="0" w:firstLine="0"/>
    </w:pPr>
    <w:rPr>
      <w:rFonts w:ascii="Times New Roman" w:eastAsia="宋体" w:hAnsi="Times New Roman"/>
      <w:sz w:val="21"/>
      <w:szCs w:val="24"/>
    </w:rPr>
  </w:style>
  <w:style w:type="paragraph" w:styleId="af4">
    <w:name w:val="Block Text"/>
    <w:basedOn w:val="a"/>
    <w:unhideWhenUsed/>
    <w:qFormat/>
    <w:rsid w:val="008768CC"/>
    <w:pPr>
      <w:widowControl w:val="0"/>
      <w:spacing w:after="120" w:line="240" w:lineRule="auto"/>
      <w:ind w:leftChars="700" w:left="1440" w:rightChars="700" w:right="1440" w:firstLineChars="0" w:firstLine="0"/>
    </w:pPr>
    <w:rPr>
      <w:rFonts w:ascii="Times New Roman" w:eastAsia="宋体" w:hAnsi="Times New Roman"/>
      <w:sz w:val="21"/>
      <w:szCs w:val="24"/>
    </w:rPr>
  </w:style>
  <w:style w:type="paragraph" w:styleId="22">
    <w:name w:val="List Bullet 2"/>
    <w:basedOn w:val="a"/>
    <w:unhideWhenUsed/>
    <w:qFormat/>
    <w:rsid w:val="008768CC"/>
    <w:pPr>
      <w:widowControl w:val="0"/>
      <w:tabs>
        <w:tab w:val="left" w:pos="780"/>
      </w:tabs>
      <w:spacing w:line="240" w:lineRule="auto"/>
      <w:ind w:left="1005" w:firstLineChars="0" w:hanging="360"/>
    </w:pPr>
    <w:rPr>
      <w:rFonts w:ascii="Times New Roman" w:eastAsia="宋体" w:hAnsi="Times New Roman"/>
      <w:sz w:val="21"/>
      <w:szCs w:val="24"/>
    </w:rPr>
  </w:style>
  <w:style w:type="paragraph" w:styleId="HTML">
    <w:name w:val="HTML Address"/>
    <w:basedOn w:val="a"/>
    <w:link w:val="HTMLChar"/>
    <w:unhideWhenUsed/>
    <w:qFormat/>
    <w:rsid w:val="008768CC"/>
    <w:pPr>
      <w:widowControl w:val="0"/>
      <w:spacing w:line="240" w:lineRule="auto"/>
      <w:ind w:firstLineChars="0" w:firstLine="0"/>
    </w:pPr>
    <w:rPr>
      <w:rFonts w:ascii="Times New Roman" w:eastAsia="宋体" w:hAnsi="Times New Roman"/>
      <w:i/>
      <w:iCs/>
      <w:kern w:val="0"/>
      <w:sz w:val="20"/>
      <w:szCs w:val="24"/>
    </w:rPr>
  </w:style>
  <w:style w:type="character" w:customStyle="1" w:styleId="HTMLChar">
    <w:name w:val="HTML 地址 Char"/>
    <w:basedOn w:val="a0"/>
    <w:link w:val="HTML"/>
    <w:qFormat/>
    <w:rsid w:val="008768CC"/>
    <w:rPr>
      <w:rFonts w:ascii="Times New Roman" w:eastAsia="宋体" w:hAnsi="Times New Roman" w:cs="Times New Roman"/>
      <w:i/>
      <w:iCs/>
      <w:kern w:val="0"/>
      <w:sz w:val="20"/>
      <w:szCs w:val="24"/>
    </w:rPr>
  </w:style>
  <w:style w:type="paragraph" w:styleId="41">
    <w:name w:val="index 4"/>
    <w:basedOn w:val="a"/>
    <w:next w:val="a"/>
    <w:unhideWhenUsed/>
    <w:qFormat/>
    <w:rsid w:val="008768CC"/>
    <w:pPr>
      <w:widowControl w:val="0"/>
      <w:spacing w:line="240" w:lineRule="auto"/>
      <w:ind w:leftChars="600" w:left="600" w:firstLineChars="0" w:firstLine="0"/>
    </w:pPr>
    <w:rPr>
      <w:rFonts w:ascii="Times New Roman" w:eastAsia="宋体" w:hAnsi="Times New Roman"/>
      <w:sz w:val="21"/>
      <w:szCs w:val="24"/>
    </w:rPr>
  </w:style>
  <w:style w:type="paragraph" w:styleId="51">
    <w:name w:val="toc 5"/>
    <w:basedOn w:val="a"/>
    <w:next w:val="a"/>
    <w:unhideWhenUsed/>
    <w:qFormat/>
    <w:rsid w:val="008768CC"/>
    <w:pPr>
      <w:widowControl w:val="0"/>
      <w:spacing w:line="240" w:lineRule="auto"/>
      <w:ind w:left="840" w:firstLineChars="0" w:firstLine="0"/>
      <w:jc w:val="left"/>
    </w:pPr>
    <w:rPr>
      <w:rFonts w:ascii="Calibri" w:eastAsia="宋体" w:hAnsi="Calibri"/>
      <w:sz w:val="18"/>
      <w:szCs w:val="18"/>
    </w:rPr>
  </w:style>
  <w:style w:type="paragraph" w:styleId="34">
    <w:name w:val="toc 3"/>
    <w:basedOn w:val="a"/>
    <w:next w:val="a"/>
    <w:unhideWhenUsed/>
    <w:qFormat/>
    <w:rsid w:val="008768CC"/>
    <w:pPr>
      <w:widowControl w:val="0"/>
      <w:spacing w:line="240" w:lineRule="auto"/>
      <w:ind w:left="420" w:firstLineChars="0" w:firstLine="0"/>
      <w:jc w:val="left"/>
    </w:pPr>
    <w:rPr>
      <w:rFonts w:ascii="Calibri" w:eastAsia="宋体" w:hAnsi="Calibri"/>
      <w:i/>
      <w:iCs/>
      <w:sz w:val="20"/>
      <w:szCs w:val="20"/>
    </w:rPr>
  </w:style>
  <w:style w:type="paragraph" w:styleId="af5">
    <w:name w:val="Plain Text"/>
    <w:basedOn w:val="a"/>
    <w:link w:val="Char12"/>
    <w:qFormat/>
    <w:rsid w:val="008768CC"/>
    <w:pPr>
      <w:widowControl w:val="0"/>
      <w:spacing w:line="240" w:lineRule="auto"/>
      <w:ind w:firstLineChars="0" w:firstLine="0"/>
    </w:pPr>
    <w:rPr>
      <w:rFonts w:ascii="宋体" w:eastAsia="宋体" w:hAnsi="Courier New"/>
      <w:sz w:val="30"/>
      <w:szCs w:val="20"/>
    </w:rPr>
  </w:style>
  <w:style w:type="character" w:customStyle="1" w:styleId="Char8">
    <w:name w:val="纯文本 Char"/>
    <w:basedOn w:val="a0"/>
    <w:qFormat/>
    <w:rsid w:val="008768CC"/>
    <w:rPr>
      <w:rFonts w:ascii="宋体" w:eastAsia="宋体" w:hAnsi="Courier New" w:cs="Courier New"/>
      <w:szCs w:val="21"/>
    </w:rPr>
  </w:style>
  <w:style w:type="paragraph" w:styleId="52">
    <w:name w:val="List Bullet 5"/>
    <w:basedOn w:val="a"/>
    <w:unhideWhenUsed/>
    <w:qFormat/>
    <w:rsid w:val="008768CC"/>
    <w:pPr>
      <w:widowControl w:val="0"/>
      <w:tabs>
        <w:tab w:val="left" w:pos="851"/>
        <w:tab w:val="left" w:pos="2040"/>
      </w:tabs>
      <w:spacing w:line="240" w:lineRule="auto"/>
      <w:ind w:left="425" w:firstLineChars="0" w:hanging="425"/>
    </w:pPr>
    <w:rPr>
      <w:rFonts w:ascii="Times New Roman" w:eastAsia="宋体" w:hAnsi="Times New Roman"/>
      <w:sz w:val="21"/>
      <w:szCs w:val="24"/>
    </w:rPr>
  </w:style>
  <w:style w:type="paragraph" w:styleId="42">
    <w:name w:val="List Number 4"/>
    <w:basedOn w:val="a"/>
    <w:unhideWhenUsed/>
    <w:qFormat/>
    <w:rsid w:val="008768CC"/>
    <w:pPr>
      <w:widowControl w:val="0"/>
      <w:tabs>
        <w:tab w:val="left" w:pos="851"/>
        <w:tab w:val="left" w:pos="1620"/>
      </w:tabs>
      <w:spacing w:line="240" w:lineRule="auto"/>
      <w:ind w:left="425" w:firstLineChars="0" w:hanging="425"/>
    </w:pPr>
    <w:rPr>
      <w:rFonts w:ascii="Times New Roman" w:eastAsia="宋体" w:hAnsi="Times New Roman"/>
      <w:sz w:val="21"/>
      <w:szCs w:val="24"/>
    </w:rPr>
  </w:style>
  <w:style w:type="paragraph" w:styleId="81">
    <w:name w:val="toc 8"/>
    <w:basedOn w:val="a"/>
    <w:next w:val="a"/>
    <w:unhideWhenUsed/>
    <w:qFormat/>
    <w:rsid w:val="008768CC"/>
    <w:pPr>
      <w:widowControl w:val="0"/>
      <w:spacing w:line="240" w:lineRule="auto"/>
      <w:ind w:left="1470" w:firstLineChars="0" w:firstLine="0"/>
      <w:jc w:val="left"/>
    </w:pPr>
    <w:rPr>
      <w:rFonts w:ascii="Calibri" w:eastAsia="宋体" w:hAnsi="Calibri"/>
      <w:sz w:val="18"/>
      <w:szCs w:val="18"/>
    </w:rPr>
  </w:style>
  <w:style w:type="paragraph" w:styleId="35">
    <w:name w:val="index 3"/>
    <w:basedOn w:val="a"/>
    <w:next w:val="a"/>
    <w:unhideWhenUsed/>
    <w:qFormat/>
    <w:rsid w:val="008768CC"/>
    <w:pPr>
      <w:widowControl w:val="0"/>
      <w:spacing w:line="240" w:lineRule="auto"/>
      <w:ind w:leftChars="400" w:left="400" w:firstLineChars="0" w:firstLine="0"/>
    </w:pPr>
    <w:rPr>
      <w:rFonts w:ascii="Times New Roman" w:eastAsia="宋体" w:hAnsi="Times New Roman"/>
      <w:sz w:val="21"/>
      <w:szCs w:val="24"/>
    </w:rPr>
  </w:style>
  <w:style w:type="paragraph" w:styleId="af6">
    <w:name w:val="Date"/>
    <w:basedOn w:val="a"/>
    <w:next w:val="a"/>
    <w:link w:val="Char9"/>
    <w:qFormat/>
    <w:rsid w:val="008768CC"/>
    <w:pPr>
      <w:widowControl w:val="0"/>
      <w:spacing w:line="240" w:lineRule="auto"/>
      <w:ind w:firstLineChars="0" w:firstLine="0"/>
    </w:pPr>
    <w:rPr>
      <w:rFonts w:ascii="宋体" w:eastAsia="宋体" w:hAnsi="宋体"/>
      <w:sz w:val="30"/>
      <w:szCs w:val="20"/>
    </w:rPr>
  </w:style>
  <w:style w:type="character" w:customStyle="1" w:styleId="Char9">
    <w:name w:val="日期 Char"/>
    <w:basedOn w:val="a0"/>
    <w:link w:val="af6"/>
    <w:qFormat/>
    <w:rsid w:val="008768CC"/>
    <w:rPr>
      <w:rFonts w:ascii="宋体" w:eastAsia="宋体" w:hAnsi="宋体" w:cs="Times New Roman"/>
      <w:sz w:val="30"/>
      <w:szCs w:val="20"/>
    </w:rPr>
  </w:style>
  <w:style w:type="paragraph" w:styleId="23">
    <w:name w:val="Body Text Indent 2"/>
    <w:basedOn w:val="a"/>
    <w:link w:val="2Char0"/>
    <w:qFormat/>
    <w:rsid w:val="008768CC"/>
    <w:pPr>
      <w:widowControl w:val="0"/>
      <w:spacing w:line="240" w:lineRule="auto"/>
      <w:ind w:firstLineChars="0" w:firstLine="600"/>
    </w:pPr>
    <w:rPr>
      <w:rFonts w:eastAsia="宋体" w:hAnsi="宋体"/>
      <w:sz w:val="30"/>
      <w:szCs w:val="20"/>
    </w:rPr>
  </w:style>
  <w:style w:type="character" w:customStyle="1" w:styleId="2Char0">
    <w:name w:val="正文文本缩进 2 Char"/>
    <w:basedOn w:val="a0"/>
    <w:link w:val="23"/>
    <w:qFormat/>
    <w:rsid w:val="008768CC"/>
    <w:rPr>
      <w:rFonts w:ascii="仿宋_GB2312" w:eastAsia="宋体" w:hAnsi="宋体" w:cs="Times New Roman"/>
      <w:sz w:val="30"/>
      <w:szCs w:val="20"/>
    </w:rPr>
  </w:style>
  <w:style w:type="paragraph" w:styleId="af7">
    <w:name w:val="endnote text"/>
    <w:basedOn w:val="a"/>
    <w:link w:val="Chara"/>
    <w:unhideWhenUsed/>
    <w:qFormat/>
    <w:rsid w:val="008768CC"/>
    <w:pPr>
      <w:widowControl w:val="0"/>
      <w:snapToGrid w:val="0"/>
      <w:spacing w:line="240" w:lineRule="auto"/>
      <w:ind w:firstLineChars="0" w:firstLine="0"/>
      <w:jc w:val="left"/>
    </w:pPr>
    <w:rPr>
      <w:rFonts w:ascii="Times New Roman" w:eastAsia="宋体" w:hAnsi="Times New Roman"/>
      <w:kern w:val="0"/>
      <w:sz w:val="20"/>
      <w:szCs w:val="24"/>
    </w:rPr>
  </w:style>
  <w:style w:type="character" w:customStyle="1" w:styleId="Chara">
    <w:name w:val="尾注文本 Char"/>
    <w:basedOn w:val="a0"/>
    <w:link w:val="af7"/>
    <w:qFormat/>
    <w:rsid w:val="008768CC"/>
    <w:rPr>
      <w:rFonts w:ascii="Times New Roman" w:eastAsia="宋体" w:hAnsi="Times New Roman" w:cs="Times New Roman"/>
      <w:kern w:val="0"/>
      <w:sz w:val="20"/>
      <w:szCs w:val="24"/>
    </w:rPr>
  </w:style>
  <w:style w:type="paragraph" w:styleId="53">
    <w:name w:val="List Continue 5"/>
    <w:basedOn w:val="a"/>
    <w:unhideWhenUsed/>
    <w:qFormat/>
    <w:rsid w:val="008768CC"/>
    <w:pPr>
      <w:widowControl w:val="0"/>
      <w:spacing w:after="120" w:line="240" w:lineRule="auto"/>
      <w:ind w:leftChars="1000" w:left="2100" w:firstLineChars="0" w:firstLine="0"/>
    </w:pPr>
    <w:rPr>
      <w:rFonts w:ascii="Times New Roman" w:eastAsia="宋体" w:hAnsi="Times New Roman"/>
      <w:sz w:val="21"/>
      <w:szCs w:val="24"/>
    </w:rPr>
  </w:style>
  <w:style w:type="paragraph" w:styleId="af8">
    <w:name w:val="Balloon Text"/>
    <w:basedOn w:val="a"/>
    <w:link w:val="Charb"/>
    <w:qFormat/>
    <w:rsid w:val="008768CC"/>
    <w:pPr>
      <w:widowControl w:val="0"/>
      <w:spacing w:line="240" w:lineRule="auto"/>
      <w:ind w:firstLineChars="0" w:firstLine="0"/>
    </w:pPr>
    <w:rPr>
      <w:rFonts w:ascii="宋体" w:eastAsia="宋体" w:hAnsi="宋体"/>
      <w:sz w:val="18"/>
      <w:szCs w:val="18"/>
    </w:rPr>
  </w:style>
  <w:style w:type="character" w:customStyle="1" w:styleId="Charb">
    <w:name w:val="批注框文本 Char"/>
    <w:basedOn w:val="a0"/>
    <w:link w:val="af8"/>
    <w:qFormat/>
    <w:rsid w:val="008768CC"/>
    <w:rPr>
      <w:rFonts w:ascii="宋体" w:eastAsia="宋体" w:hAnsi="宋体" w:cs="Times New Roman"/>
      <w:sz w:val="18"/>
      <w:szCs w:val="18"/>
    </w:rPr>
  </w:style>
  <w:style w:type="paragraph" w:styleId="af9">
    <w:name w:val="footer"/>
    <w:basedOn w:val="a"/>
    <w:link w:val="Charc"/>
    <w:uiPriority w:val="99"/>
    <w:qFormat/>
    <w:rsid w:val="008768CC"/>
    <w:pPr>
      <w:widowControl w:val="0"/>
      <w:tabs>
        <w:tab w:val="center" w:pos="4153"/>
        <w:tab w:val="right" w:pos="8306"/>
      </w:tabs>
      <w:snapToGrid w:val="0"/>
      <w:spacing w:line="240" w:lineRule="auto"/>
      <w:ind w:firstLineChars="0" w:firstLine="0"/>
      <w:jc w:val="left"/>
    </w:pPr>
    <w:rPr>
      <w:rFonts w:ascii="宋体" w:eastAsia="宋体" w:hAnsi="宋体"/>
      <w:sz w:val="18"/>
      <w:szCs w:val="20"/>
    </w:rPr>
  </w:style>
  <w:style w:type="character" w:customStyle="1" w:styleId="Charc">
    <w:name w:val="页脚 Char"/>
    <w:basedOn w:val="a0"/>
    <w:link w:val="af9"/>
    <w:uiPriority w:val="99"/>
    <w:qFormat/>
    <w:rsid w:val="008768CC"/>
    <w:rPr>
      <w:rFonts w:ascii="宋体" w:eastAsia="宋体" w:hAnsi="宋体" w:cs="Times New Roman"/>
      <w:sz w:val="18"/>
      <w:szCs w:val="20"/>
    </w:rPr>
  </w:style>
  <w:style w:type="paragraph" w:styleId="afa">
    <w:name w:val="envelope return"/>
    <w:basedOn w:val="a"/>
    <w:unhideWhenUsed/>
    <w:qFormat/>
    <w:rsid w:val="008768CC"/>
    <w:pPr>
      <w:widowControl w:val="0"/>
      <w:snapToGrid w:val="0"/>
      <w:spacing w:line="240" w:lineRule="auto"/>
      <w:ind w:firstLineChars="0" w:firstLine="0"/>
    </w:pPr>
    <w:rPr>
      <w:rFonts w:ascii="Arial" w:eastAsia="宋体" w:hAnsi="Arial" w:cs="Arial"/>
      <w:sz w:val="21"/>
      <w:szCs w:val="24"/>
    </w:rPr>
  </w:style>
  <w:style w:type="paragraph" w:styleId="afb">
    <w:name w:val="header"/>
    <w:basedOn w:val="a"/>
    <w:link w:val="Chard"/>
    <w:qFormat/>
    <w:rsid w:val="008768CC"/>
    <w:pPr>
      <w:widowControl w:val="0"/>
      <w:pBdr>
        <w:bottom w:val="single" w:sz="6" w:space="1" w:color="auto"/>
      </w:pBdr>
      <w:tabs>
        <w:tab w:val="center" w:pos="4153"/>
        <w:tab w:val="right" w:pos="8306"/>
      </w:tabs>
      <w:snapToGrid w:val="0"/>
      <w:spacing w:line="240" w:lineRule="auto"/>
      <w:ind w:firstLineChars="0" w:firstLine="0"/>
      <w:jc w:val="center"/>
    </w:pPr>
    <w:rPr>
      <w:rFonts w:ascii="宋体" w:eastAsia="宋体" w:hAnsi="宋体"/>
      <w:sz w:val="18"/>
      <w:szCs w:val="20"/>
    </w:rPr>
  </w:style>
  <w:style w:type="character" w:customStyle="1" w:styleId="Chard">
    <w:name w:val="页眉 Char"/>
    <w:basedOn w:val="a0"/>
    <w:link w:val="afb"/>
    <w:qFormat/>
    <w:rsid w:val="008768CC"/>
    <w:rPr>
      <w:rFonts w:ascii="宋体" w:eastAsia="宋体" w:hAnsi="宋体" w:cs="Times New Roman"/>
      <w:sz w:val="18"/>
      <w:szCs w:val="20"/>
    </w:rPr>
  </w:style>
  <w:style w:type="paragraph" w:styleId="afc">
    <w:name w:val="Signature"/>
    <w:basedOn w:val="a"/>
    <w:link w:val="Chare"/>
    <w:unhideWhenUsed/>
    <w:qFormat/>
    <w:rsid w:val="008768CC"/>
    <w:pPr>
      <w:widowControl w:val="0"/>
      <w:spacing w:line="240" w:lineRule="auto"/>
      <w:ind w:leftChars="2100" w:left="100" w:firstLineChars="0" w:firstLine="0"/>
    </w:pPr>
    <w:rPr>
      <w:rFonts w:ascii="Times New Roman" w:eastAsia="宋体" w:hAnsi="Times New Roman"/>
      <w:kern w:val="0"/>
      <w:sz w:val="20"/>
      <w:szCs w:val="24"/>
    </w:rPr>
  </w:style>
  <w:style w:type="character" w:customStyle="1" w:styleId="Chare">
    <w:name w:val="签名 Char"/>
    <w:basedOn w:val="a0"/>
    <w:link w:val="afc"/>
    <w:qFormat/>
    <w:rsid w:val="008768CC"/>
    <w:rPr>
      <w:rFonts w:ascii="Times New Roman" w:eastAsia="宋体" w:hAnsi="Times New Roman" w:cs="Times New Roman"/>
      <w:kern w:val="0"/>
      <w:sz w:val="20"/>
      <w:szCs w:val="24"/>
    </w:rPr>
  </w:style>
  <w:style w:type="paragraph" w:styleId="10">
    <w:name w:val="toc 1"/>
    <w:basedOn w:val="a"/>
    <w:next w:val="a"/>
    <w:uiPriority w:val="39"/>
    <w:unhideWhenUsed/>
    <w:qFormat/>
    <w:rsid w:val="008768CC"/>
    <w:pPr>
      <w:widowControl w:val="0"/>
      <w:spacing w:before="120" w:after="120" w:line="240" w:lineRule="auto"/>
      <w:ind w:firstLineChars="0" w:firstLine="0"/>
      <w:jc w:val="left"/>
    </w:pPr>
    <w:rPr>
      <w:rFonts w:ascii="Calibri" w:eastAsia="宋体" w:hAnsi="Calibri"/>
      <w:b/>
      <w:bCs/>
      <w:caps/>
      <w:sz w:val="20"/>
      <w:szCs w:val="20"/>
    </w:rPr>
  </w:style>
  <w:style w:type="paragraph" w:styleId="43">
    <w:name w:val="List Continue 4"/>
    <w:basedOn w:val="a"/>
    <w:unhideWhenUsed/>
    <w:qFormat/>
    <w:rsid w:val="008768CC"/>
    <w:pPr>
      <w:widowControl w:val="0"/>
      <w:spacing w:after="120" w:line="240" w:lineRule="auto"/>
      <w:ind w:leftChars="800" w:left="1680" w:firstLineChars="0" w:firstLine="0"/>
    </w:pPr>
    <w:rPr>
      <w:rFonts w:ascii="Times New Roman" w:eastAsia="宋体" w:hAnsi="Times New Roman"/>
      <w:sz w:val="21"/>
      <w:szCs w:val="24"/>
    </w:rPr>
  </w:style>
  <w:style w:type="paragraph" w:styleId="44">
    <w:name w:val="toc 4"/>
    <w:basedOn w:val="a"/>
    <w:next w:val="a"/>
    <w:unhideWhenUsed/>
    <w:qFormat/>
    <w:rsid w:val="008768CC"/>
    <w:pPr>
      <w:widowControl w:val="0"/>
      <w:spacing w:line="240" w:lineRule="auto"/>
      <w:ind w:left="630" w:firstLineChars="0" w:firstLine="0"/>
      <w:jc w:val="left"/>
    </w:pPr>
    <w:rPr>
      <w:rFonts w:ascii="Calibri" w:eastAsia="宋体" w:hAnsi="Calibri"/>
      <w:sz w:val="18"/>
      <w:szCs w:val="18"/>
    </w:rPr>
  </w:style>
  <w:style w:type="paragraph" w:styleId="11">
    <w:name w:val="index 1"/>
    <w:basedOn w:val="a"/>
    <w:next w:val="a"/>
    <w:autoRedefine/>
    <w:unhideWhenUsed/>
    <w:qFormat/>
    <w:rsid w:val="008768CC"/>
    <w:pPr>
      <w:ind w:firstLine="0"/>
    </w:pPr>
  </w:style>
  <w:style w:type="paragraph" w:styleId="afd">
    <w:name w:val="index heading"/>
    <w:basedOn w:val="a"/>
    <w:next w:val="11"/>
    <w:unhideWhenUsed/>
    <w:qFormat/>
    <w:rsid w:val="008768CC"/>
    <w:pPr>
      <w:widowControl w:val="0"/>
      <w:spacing w:line="240" w:lineRule="auto"/>
      <w:ind w:firstLineChars="0" w:firstLine="0"/>
    </w:pPr>
    <w:rPr>
      <w:rFonts w:ascii="Arial" w:eastAsia="宋体" w:hAnsi="Arial" w:cs="Arial"/>
      <w:b/>
      <w:bCs/>
      <w:sz w:val="21"/>
      <w:szCs w:val="24"/>
    </w:rPr>
  </w:style>
  <w:style w:type="paragraph" w:styleId="afe">
    <w:name w:val="Subtitle"/>
    <w:basedOn w:val="a"/>
    <w:link w:val="Charf"/>
    <w:qFormat/>
    <w:rsid w:val="008768CC"/>
    <w:pPr>
      <w:widowControl w:val="0"/>
      <w:spacing w:before="240" w:after="60" w:line="312" w:lineRule="auto"/>
      <w:ind w:firstLineChars="0" w:firstLine="0"/>
      <w:jc w:val="center"/>
      <w:outlineLvl w:val="1"/>
    </w:pPr>
    <w:rPr>
      <w:rFonts w:ascii="Arial" w:eastAsia="宋体" w:hAnsi="Arial" w:cs="Arial"/>
      <w:b/>
      <w:bCs/>
      <w:kern w:val="28"/>
    </w:rPr>
  </w:style>
  <w:style w:type="character" w:customStyle="1" w:styleId="Charf">
    <w:name w:val="副标题 Char"/>
    <w:basedOn w:val="a0"/>
    <w:link w:val="afe"/>
    <w:qFormat/>
    <w:rsid w:val="008768CC"/>
    <w:rPr>
      <w:rFonts w:ascii="Arial" w:eastAsia="宋体" w:hAnsi="Arial" w:cs="Arial"/>
      <w:b/>
      <w:bCs/>
      <w:kern w:val="28"/>
      <w:sz w:val="32"/>
      <w:szCs w:val="32"/>
    </w:rPr>
  </w:style>
  <w:style w:type="paragraph" w:styleId="54">
    <w:name w:val="List Number 5"/>
    <w:basedOn w:val="a"/>
    <w:unhideWhenUsed/>
    <w:qFormat/>
    <w:rsid w:val="008768CC"/>
    <w:pPr>
      <w:widowControl w:val="0"/>
      <w:tabs>
        <w:tab w:val="left" w:pos="2040"/>
      </w:tabs>
      <w:spacing w:line="240" w:lineRule="auto"/>
      <w:ind w:left="1080" w:firstLineChars="0" w:hanging="1080"/>
    </w:pPr>
    <w:rPr>
      <w:rFonts w:ascii="Times New Roman" w:eastAsia="宋体" w:hAnsi="Times New Roman"/>
      <w:sz w:val="21"/>
      <w:szCs w:val="24"/>
    </w:rPr>
  </w:style>
  <w:style w:type="paragraph" w:styleId="aff">
    <w:name w:val="List"/>
    <w:basedOn w:val="a"/>
    <w:unhideWhenUsed/>
    <w:qFormat/>
    <w:rsid w:val="008768CC"/>
    <w:pPr>
      <w:widowControl w:val="0"/>
      <w:spacing w:line="240" w:lineRule="auto"/>
      <w:ind w:left="200" w:hangingChars="200" w:hanging="200"/>
    </w:pPr>
    <w:rPr>
      <w:rFonts w:ascii="Times New Roman" w:eastAsia="宋体" w:hAnsi="Times New Roman"/>
      <w:sz w:val="21"/>
      <w:szCs w:val="24"/>
    </w:rPr>
  </w:style>
  <w:style w:type="paragraph" w:styleId="aff0">
    <w:name w:val="footnote text"/>
    <w:basedOn w:val="a"/>
    <w:link w:val="Charf0"/>
    <w:unhideWhenUsed/>
    <w:qFormat/>
    <w:rsid w:val="008768CC"/>
    <w:pPr>
      <w:widowControl w:val="0"/>
      <w:snapToGrid w:val="0"/>
      <w:spacing w:line="240" w:lineRule="auto"/>
      <w:ind w:firstLineChars="0" w:firstLine="0"/>
      <w:jc w:val="left"/>
    </w:pPr>
    <w:rPr>
      <w:rFonts w:ascii="Times New Roman" w:eastAsia="宋体" w:hAnsi="Times New Roman"/>
      <w:kern w:val="0"/>
      <w:sz w:val="18"/>
      <w:szCs w:val="18"/>
    </w:rPr>
  </w:style>
  <w:style w:type="character" w:customStyle="1" w:styleId="Charf0">
    <w:name w:val="脚注文本 Char"/>
    <w:basedOn w:val="a0"/>
    <w:link w:val="aff0"/>
    <w:qFormat/>
    <w:rsid w:val="008768CC"/>
    <w:rPr>
      <w:rFonts w:ascii="Times New Roman" w:eastAsia="宋体" w:hAnsi="Times New Roman" w:cs="Times New Roman"/>
      <w:kern w:val="0"/>
      <w:sz w:val="18"/>
      <w:szCs w:val="18"/>
    </w:rPr>
  </w:style>
  <w:style w:type="paragraph" w:styleId="61">
    <w:name w:val="toc 6"/>
    <w:basedOn w:val="a"/>
    <w:next w:val="a"/>
    <w:unhideWhenUsed/>
    <w:qFormat/>
    <w:rsid w:val="008768CC"/>
    <w:pPr>
      <w:widowControl w:val="0"/>
      <w:spacing w:line="240" w:lineRule="auto"/>
      <w:ind w:left="1050" w:firstLineChars="0" w:firstLine="0"/>
      <w:jc w:val="left"/>
    </w:pPr>
    <w:rPr>
      <w:rFonts w:ascii="Calibri" w:eastAsia="宋体" w:hAnsi="Calibri"/>
      <w:sz w:val="18"/>
      <w:szCs w:val="18"/>
    </w:rPr>
  </w:style>
  <w:style w:type="paragraph" w:styleId="55">
    <w:name w:val="List 5"/>
    <w:basedOn w:val="a"/>
    <w:unhideWhenUsed/>
    <w:qFormat/>
    <w:rsid w:val="008768CC"/>
    <w:pPr>
      <w:widowControl w:val="0"/>
      <w:spacing w:line="240" w:lineRule="auto"/>
      <w:ind w:leftChars="800" w:left="100" w:hangingChars="200" w:hanging="200"/>
    </w:pPr>
    <w:rPr>
      <w:rFonts w:ascii="Times New Roman" w:eastAsia="宋体" w:hAnsi="Times New Roman"/>
      <w:sz w:val="21"/>
      <w:szCs w:val="24"/>
    </w:rPr>
  </w:style>
  <w:style w:type="paragraph" w:styleId="36">
    <w:name w:val="Body Text Indent 3"/>
    <w:basedOn w:val="a"/>
    <w:link w:val="3Char1"/>
    <w:qFormat/>
    <w:rsid w:val="008768CC"/>
    <w:pPr>
      <w:widowControl w:val="0"/>
      <w:spacing w:line="240" w:lineRule="auto"/>
      <w:ind w:firstLineChars="0" w:firstLine="624"/>
    </w:pPr>
    <w:rPr>
      <w:rFonts w:ascii="宋体" w:eastAsia="宋体" w:hAnsi="宋体"/>
      <w:sz w:val="30"/>
      <w:szCs w:val="20"/>
    </w:rPr>
  </w:style>
  <w:style w:type="character" w:customStyle="1" w:styleId="3Char1">
    <w:name w:val="正文文本缩进 3 Char"/>
    <w:basedOn w:val="a0"/>
    <w:link w:val="36"/>
    <w:qFormat/>
    <w:rsid w:val="008768CC"/>
    <w:rPr>
      <w:rFonts w:ascii="宋体" w:eastAsia="宋体" w:hAnsi="宋体" w:cs="Times New Roman"/>
      <w:sz w:val="30"/>
      <w:szCs w:val="20"/>
    </w:rPr>
  </w:style>
  <w:style w:type="paragraph" w:styleId="71">
    <w:name w:val="index 7"/>
    <w:basedOn w:val="a"/>
    <w:next w:val="a"/>
    <w:unhideWhenUsed/>
    <w:qFormat/>
    <w:rsid w:val="008768CC"/>
    <w:pPr>
      <w:widowControl w:val="0"/>
      <w:spacing w:line="240" w:lineRule="auto"/>
      <w:ind w:leftChars="1200" w:left="1200" w:firstLineChars="0" w:firstLine="0"/>
    </w:pPr>
    <w:rPr>
      <w:rFonts w:ascii="Times New Roman" w:eastAsia="宋体" w:hAnsi="Times New Roman"/>
      <w:sz w:val="21"/>
      <w:szCs w:val="24"/>
    </w:rPr>
  </w:style>
  <w:style w:type="paragraph" w:styleId="90">
    <w:name w:val="index 9"/>
    <w:basedOn w:val="a"/>
    <w:next w:val="a"/>
    <w:unhideWhenUsed/>
    <w:qFormat/>
    <w:rsid w:val="008768CC"/>
    <w:pPr>
      <w:widowControl w:val="0"/>
      <w:spacing w:line="240" w:lineRule="auto"/>
      <w:ind w:leftChars="1600" w:left="1600" w:firstLineChars="0" w:firstLine="0"/>
    </w:pPr>
    <w:rPr>
      <w:rFonts w:ascii="Times New Roman" w:eastAsia="宋体" w:hAnsi="Times New Roman"/>
      <w:sz w:val="21"/>
      <w:szCs w:val="24"/>
    </w:rPr>
  </w:style>
  <w:style w:type="paragraph" w:styleId="aff1">
    <w:name w:val="table of figures"/>
    <w:basedOn w:val="a"/>
    <w:next w:val="a"/>
    <w:unhideWhenUsed/>
    <w:qFormat/>
    <w:rsid w:val="008768CC"/>
    <w:pPr>
      <w:widowControl w:val="0"/>
      <w:spacing w:line="240" w:lineRule="auto"/>
      <w:ind w:leftChars="200" w:left="200" w:hangingChars="200" w:hanging="200"/>
    </w:pPr>
    <w:rPr>
      <w:rFonts w:ascii="Times New Roman" w:eastAsia="宋体" w:hAnsi="Times New Roman"/>
      <w:sz w:val="21"/>
      <w:szCs w:val="24"/>
    </w:rPr>
  </w:style>
  <w:style w:type="paragraph" w:styleId="24">
    <w:name w:val="toc 2"/>
    <w:basedOn w:val="a"/>
    <w:next w:val="a"/>
    <w:uiPriority w:val="39"/>
    <w:unhideWhenUsed/>
    <w:qFormat/>
    <w:rsid w:val="008768CC"/>
    <w:pPr>
      <w:widowControl w:val="0"/>
      <w:spacing w:line="240" w:lineRule="auto"/>
      <w:ind w:left="210" w:firstLineChars="0" w:firstLine="0"/>
      <w:jc w:val="left"/>
    </w:pPr>
    <w:rPr>
      <w:rFonts w:ascii="Calibri" w:eastAsia="宋体" w:hAnsi="Calibri"/>
      <w:smallCaps/>
      <w:sz w:val="20"/>
      <w:szCs w:val="20"/>
    </w:rPr>
  </w:style>
  <w:style w:type="paragraph" w:styleId="91">
    <w:name w:val="toc 9"/>
    <w:basedOn w:val="a"/>
    <w:next w:val="a"/>
    <w:unhideWhenUsed/>
    <w:qFormat/>
    <w:rsid w:val="008768CC"/>
    <w:pPr>
      <w:widowControl w:val="0"/>
      <w:spacing w:line="240" w:lineRule="auto"/>
      <w:ind w:left="1680" w:firstLineChars="0" w:firstLine="0"/>
      <w:jc w:val="left"/>
    </w:pPr>
    <w:rPr>
      <w:rFonts w:ascii="Calibri" w:eastAsia="宋体" w:hAnsi="Calibri"/>
      <w:sz w:val="18"/>
      <w:szCs w:val="18"/>
    </w:rPr>
  </w:style>
  <w:style w:type="paragraph" w:styleId="25">
    <w:name w:val="Body Text 2"/>
    <w:basedOn w:val="a"/>
    <w:link w:val="2Char1"/>
    <w:unhideWhenUsed/>
    <w:qFormat/>
    <w:rsid w:val="008768CC"/>
    <w:pPr>
      <w:widowControl w:val="0"/>
      <w:spacing w:after="120" w:line="480" w:lineRule="auto"/>
      <w:ind w:firstLineChars="0" w:firstLine="0"/>
    </w:pPr>
    <w:rPr>
      <w:rFonts w:ascii="Times New Roman" w:eastAsia="宋体" w:hAnsi="Times New Roman"/>
      <w:kern w:val="0"/>
      <w:sz w:val="20"/>
      <w:szCs w:val="24"/>
    </w:rPr>
  </w:style>
  <w:style w:type="character" w:customStyle="1" w:styleId="2Char1">
    <w:name w:val="正文文本 2 Char"/>
    <w:basedOn w:val="a0"/>
    <w:link w:val="25"/>
    <w:qFormat/>
    <w:rsid w:val="008768CC"/>
    <w:rPr>
      <w:rFonts w:ascii="Times New Roman" w:eastAsia="宋体" w:hAnsi="Times New Roman" w:cs="Times New Roman"/>
      <w:kern w:val="0"/>
      <w:sz w:val="20"/>
      <w:szCs w:val="24"/>
    </w:rPr>
  </w:style>
  <w:style w:type="paragraph" w:styleId="45">
    <w:name w:val="List 4"/>
    <w:basedOn w:val="a"/>
    <w:unhideWhenUsed/>
    <w:qFormat/>
    <w:rsid w:val="008768CC"/>
    <w:pPr>
      <w:widowControl w:val="0"/>
      <w:spacing w:line="240" w:lineRule="auto"/>
      <w:ind w:leftChars="600" w:left="100" w:hangingChars="200" w:hanging="200"/>
    </w:pPr>
    <w:rPr>
      <w:rFonts w:ascii="Times New Roman" w:eastAsia="宋体" w:hAnsi="Times New Roman"/>
      <w:sz w:val="21"/>
      <w:szCs w:val="24"/>
    </w:rPr>
  </w:style>
  <w:style w:type="paragraph" w:styleId="26">
    <w:name w:val="List Continue 2"/>
    <w:basedOn w:val="a"/>
    <w:unhideWhenUsed/>
    <w:qFormat/>
    <w:rsid w:val="008768CC"/>
    <w:pPr>
      <w:widowControl w:val="0"/>
      <w:spacing w:after="120" w:line="240" w:lineRule="auto"/>
      <w:ind w:leftChars="400" w:left="840" w:firstLineChars="0" w:firstLine="0"/>
    </w:pPr>
    <w:rPr>
      <w:rFonts w:ascii="Times New Roman" w:eastAsia="宋体" w:hAnsi="Times New Roman"/>
      <w:sz w:val="21"/>
      <w:szCs w:val="24"/>
    </w:rPr>
  </w:style>
  <w:style w:type="paragraph" w:styleId="aff2">
    <w:name w:val="Message Header"/>
    <w:basedOn w:val="a"/>
    <w:link w:val="Charf1"/>
    <w:unhideWhenUsed/>
    <w:qFormat/>
    <w:rsid w:val="008768CC"/>
    <w:pPr>
      <w:widowControl w:val="0"/>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Arial" w:eastAsia="宋体" w:hAnsi="Arial" w:cs="Arial"/>
      <w:kern w:val="0"/>
      <w:sz w:val="24"/>
      <w:szCs w:val="24"/>
    </w:rPr>
  </w:style>
  <w:style w:type="character" w:customStyle="1" w:styleId="Charf1">
    <w:name w:val="信息标题 Char"/>
    <w:basedOn w:val="a0"/>
    <w:link w:val="aff2"/>
    <w:qFormat/>
    <w:rsid w:val="008768CC"/>
    <w:rPr>
      <w:rFonts w:ascii="Arial" w:eastAsia="宋体" w:hAnsi="Arial" w:cs="Arial"/>
      <w:kern w:val="0"/>
      <w:sz w:val="24"/>
      <w:szCs w:val="24"/>
      <w:shd w:val="pct20" w:color="auto" w:fill="auto"/>
    </w:rPr>
  </w:style>
  <w:style w:type="paragraph" w:styleId="HTML0">
    <w:name w:val="HTML Preformatted"/>
    <w:basedOn w:val="a"/>
    <w:link w:val="HTMLChar0"/>
    <w:uiPriority w:val="99"/>
    <w:unhideWhenUsed/>
    <w:qFormat/>
    <w:rsid w:val="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 w:val="24"/>
      <w:szCs w:val="24"/>
    </w:rPr>
  </w:style>
  <w:style w:type="character" w:customStyle="1" w:styleId="HTMLChar0">
    <w:name w:val="HTML 预设格式 Char"/>
    <w:basedOn w:val="a0"/>
    <w:link w:val="HTML0"/>
    <w:uiPriority w:val="99"/>
    <w:qFormat/>
    <w:rsid w:val="008768CC"/>
    <w:rPr>
      <w:rFonts w:ascii="宋体" w:eastAsia="宋体" w:hAnsi="宋体" w:cs="宋体"/>
      <w:kern w:val="0"/>
      <w:sz w:val="24"/>
      <w:szCs w:val="24"/>
    </w:rPr>
  </w:style>
  <w:style w:type="paragraph" w:styleId="aff3">
    <w:name w:val="Normal (Web)"/>
    <w:basedOn w:val="a"/>
    <w:unhideWhenUsed/>
    <w:qFormat/>
    <w:rsid w:val="008768CC"/>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37">
    <w:name w:val="List Continue 3"/>
    <w:basedOn w:val="a"/>
    <w:unhideWhenUsed/>
    <w:qFormat/>
    <w:rsid w:val="008768CC"/>
    <w:pPr>
      <w:widowControl w:val="0"/>
      <w:spacing w:after="120" w:line="240" w:lineRule="auto"/>
      <w:ind w:leftChars="600" w:left="1260" w:firstLineChars="0" w:firstLine="0"/>
    </w:pPr>
    <w:rPr>
      <w:rFonts w:ascii="Times New Roman" w:eastAsia="宋体" w:hAnsi="Times New Roman"/>
      <w:sz w:val="21"/>
      <w:szCs w:val="24"/>
    </w:rPr>
  </w:style>
  <w:style w:type="paragraph" w:styleId="27">
    <w:name w:val="index 2"/>
    <w:basedOn w:val="a"/>
    <w:next w:val="a"/>
    <w:unhideWhenUsed/>
    <w:qFormat/>
    <w:rsid w:val="008768CC"/>
    <w:pPr>
      <w:widowControl w:val="0"/>
      <w:spacing w:line="240" w:lineRule="auto"/>
      <w:ind w:leftChars="200" w:left="200" w:firstLineChars="0" w:firstLine="0"/>
    </w:pPr>
    <w:rPr>
      <w:rFonts w:ascii="Times New Roman" w:eastAsia="宋体" w:hAnsi="Times New Roman"/>
      <w:sz w:val="21"/>
      <w:szCs w:val="24"/>
    </w:rPr>
  </w:style>
  <w:style w:type="paragraph" w:styleId="aff4">
    <w:name w:val="Title"/>
    <w:basedOn w:val="a"/>
    <w:next w:val="a"/>
    <w:link w:val="Charf2"/>
    <w:qFormat/>
    <w:rsid w:val="008768CC"/>
    <w:pPr>
      <w:widowControl w:val="0"/>
      <w:spacing w:before="240" w:after="60" w:line="240" w:lineRule="auto"/>
      <w:ind w:firstLineChars="0" w:firstLine="0"/>
      <w:jc w:val="center"/>
      <w:outlineLvl w:val="0"/>
    </w:pPr>
    <w:rPr>
      <w:rFonts w:ascii="Cambria" w:eastAsia="宋体" w:hAnsi="Cambria"/>
      <w:b/>
      <w:bCs/>
    </w:rPr>
  </w:style>
  <w:style w:type="character" w:customStyle="1" w:styleId="Charf2">
    <w:name w:val="标题 Char"/>
    <w:basedOn w:val="a0"/>
    <w:link w:val="aff4"/>
    <w:qFormat/>
    <w:rsid w:val="008768CC"/>
    <w:rPr>
      <w:rFonts w:ascii="Cambria" w:eastAsia="宋体" w:hAnsi="Cambria" w:cs="Times New Roman"/>
      <w:b/>
      <w:bCs/>
      <w:sz w:val="32"/>
      <w:szCs w:val="32"/>
    </w:rPr>
  </w:style>
  <w:style w:type="paragraph" w:styleId="aff5">
    <w:name w:val="annotation subject"/>
    <w:basedOn w:val="ae"/>
    <w:next w:val="ae"/>
    <w:link w:val="Charf3"/>
    <w:unhideWhenUsed/>
    <w:qFormat/>
    <w:rsid w:val="008768CC"/>
    <w:rPr>
      <w:rFonts w:ascii="宋体" w:hAnsi="宋体" w:cs="宋体"/>
      <w:b/>
      <w:bCs/>
      <w:kern w:val="0"/>
      <w:sz w:val="20"/>
      <w:szCs w:val="21"/>
    </w:rPr>
  </w:style>
  <w:style w:type="character" w:customStyle="1" w:styleId="Charf3">
    <w:name w:val="批注主题 Char"/>
    <w:basedOn w:val="Char3"/>
    <w:link w:val="aff5"/>
    <w:qFormat/>
    <w:rsid w:val="008768CC"/>
    <w:rPr>
      <w:rFonts w:ascii="宋体" w:eastAsia="宋体" w:hAnsi="宋体" w:cs="宋体"/>
      <w:b/>
      <w:bCs/>
      <w:kern w:val="0"/>
      <w:sz w:val="20"/>
      <w:szCs w:val="21"/>
    </w:rPr>
  </w:style>
  <w:style w:type="paragraph" w:styleId="aff6">
    <w:name w:val="Body Text First Indent"/>
    <w:basedOn w:val="af1"/>
    <w:link w:val="Charf4"/>
    <w:qFormat/>
    <w:rsid w:val="008768CC"/>
    <w:pPr>
      <w:widowControl w:val="0"/>
      <w:spacing w:line="240" w:lineRule="auto"/>
      <w:ind w:firstLineChars="100" w:firstLine="420"/>
    </w:pPr>
    <w:rPr>
      <w:rFonts w:ascii="宋体" w:eastAsia="宋体" w:hAnsi="宋体"/>
      <w:sz w:val="30"/>
      <w:szCs w:val="20"/>
    </w:rPr>
  </w:style>
  <w:style w:type="character" w:customStyle="1" w:styleId="Charf4">
    <w:name w:val="正文首行缩进 Char"/>
    <w:basedOn w:val="Char6"/>
    <w:link w:val="aff6"/>
    <w:qFormat/>
    <w:rsid w:val="008768CC"/>
    <w:rPr>
      <w:rFonts w:ascii="宋体" w:eastAsia="宋体" w:hAnsi="宋体" w:cs="Times New Roman"/>
      <w:sz w:val="30"/>
      <w:szCs w:val="20"/>
    </w:rPr>
  </w:style>
  <w:style w:type="paragraph" w:styleId="28">
    <w:name w:val="Body Text First Indent 2"/>
    <w:basedOn w:val="af2"/>
    <w:link w:val="2Char2"/>
    <w:unhideWhenUsed/>
    <w:qFormat/>
    <w:rsid w:val="008768CC"/>
    <w:pPr>
      <w:snapToGrid/>
      <w:spacing w:after="120"/>
      <w:ind w:leftChars="200" w:left="420" w:firstLineChars="200" w:firstLine="420"/>
    </w:pPr>
    <w:rPr>
      <w:rFonts w:ascii="Times New Roman" w:eastAsia="宋体" w:hAnsi="Times New Roman"/>
      <w:kern w:val="0"/>
      <w:sz w:val="20"/>
      <w:szCs w:val="24"/>
    </w:rPr>
  </w:style>
  <w:style w:type="character" w:customStyle="1" w:styleId="2Char2">
    <w:name w:val="正文首行缩进 2 Char"/>
    <w:basedOn w:val="Char7"/>
    <w:link w:val="28"/>
    <w:qFormat/>
    <w:rsid w:val="008768CC"/>
    <w:rPr>
      <w:rFonts w:ascii="Times New Roman" w:eastAsia="宋体" w:hAnsi="Times New Roman" w:cs="Times New Roman"/>
      <w:kern w:val="0"/>
      <w:sz w:val="20"/>
      <w:szCs w:val="24"/>
    </w:rPr>
  </w:style>
  <w:style w:type="table" w:styleId="aff7">
    <w:name w:val="Table Grid"/>
    <w:basedOn w:val="a1"/>
    <w:uiPriority w:val="59"/>
    <w:qFormat/>
    <w:rsid w:val="008768C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sid w:val="008768CC"/>
    <w:rPr>
      <w:b/>
      <w:bCs/>
    </w:rPr>
  </w:style>
  <w:style w:type="character" w:styleId="aff9">
    <w:name w:val="page number"/>
    <w:basedOn w:val="a0"/>
    <w:qFormat/>
    <w:rsid w:val="008768CC"/>
  </w:style>
  <w:style w:type="character" w:styleId="affa">
    <w:name w:val="FollowedHyperlink"/>
    <w:unhideWhenUsed/>
    <w:qFormat/>
    <w:rsid w:val="008768CC"/>
    <w:rPr>
      <w:color w:val="800080"/>
      <w:u w:val="single"/>
    </w:rPr>
  </w:style>
  <w:style w:type="character" w:styleId="affb">
    <w:name w:val="Hyperlink"/>
    <w:uiPriority w:val="99"/>
    <w:unhideWhenUsed/>
    <w:qFormat/>
    <w:rsid w:val="008768CC"/>
    <w:rPr>
      <w:color w:val="0000FF"/>
      <w:u w:val="single"/>
    </w:rPr>
  </w:style>
  <w:style w:type="character" w:styleId="affc">
    <w:name w:val="annotation reference"/>
    <w:unhideWhenUsed/>
    <w:qFormat/>
    <w:rsid w:val="008768CC"/>
    <w:rPr>
      <w:rFonts w:ascii="Times New Roman" w:hAnsi="Times New Roman" w:cs="Times New Roman" w:hint="default"/>
      <w:sz w:val="21"/>
      <w:szCs w:val="21"/>
    </w:rPr>
  </w:style>
  <w:style w:type="character" w:styleId="affd">
    <w:name w:val="footnote reference"/>
    <w:unhideWhenUsed/>
    <w:qFormat/>
    <w:rsid w:val="008768CC"/>
    <w:rPr>
      <w:vertAlign w:val="superscript"/>
    </w:rPr>
  </w:style>
  <w:style w:type="character" w:customStyle="1" w:styleId="Char10">
    <w:name w:val="批注文字 Char1"/>
    <w:link w:val="ae"/>
    <w:qFormat/>
    <w:locked/>
    <w:rsid w:val="008768CC"/>
    <w:rPr>
      <w:rFonts w:ascii="Times New Roman" w:eastAsia="宋体" w:hAnsi="Times New Roman" w:cs="Times New Roman"/>
      <w:szCs w:val="24"/>
    </w:rPr>
  </w:style>
  <w:style w:type="character" w:customStyle="1" w:styleId="Char11">
    <w:name w:val="正文文本缩进 Char1"/>
    <w:link w:val="af2"/>
    <w:qFormat/>
    <w:rsid w:val="008768CC"/>
    <w:rPr>
      <w:rFonts w:ascii="楷体_GB2312" w:eastAsia="楷体_GB2312" w:hAnsi="宋体" w:cs="Times New Roman"/>
      <w:sz w:val="24"/>
      <w:szCs w:val="20"/>
    </w:rPr>
  </w:style>
  <w:style w:type="character" w:customStyle="1" w:styleId="Char12">
    <w:name w:val="纯文本 Char1"/>
    <w:link w:val="af5"/>
    <w:qFormat/>
    <w:locked/>
    <w:rsid w:val="008768CC"/>
    <w:rPr>
      <w:rFonts w:ascii="宋体" w:eastAsia="宋体" w:hAnsi="Courier New" w:cs="Times New Roman"/>
      <w:sz w:val="30"/>
      <w:szCs w:val="20"/>
    </w:rPr>
  </w:style>
  <w:style w:type="character" w:customStyle="1" w:styleId="KWBodytextCharChar">
    <w:name w:val="K&amp;W Body text Char Char"/>
    <w:link w:val="KWBodytext"/>
    <w:qFormat/>
    <w:locked/>
    <w:rsid w:val="008768CC"/>
    <w:rPr>
      <w:rFonts w:ascii="Arial" w:eastAsia="楷体_GB2312" w:hAnsi="Arial"/>
      <w:sz w:val="24"/>
      <w:lang w:eastAsia="en-US"/>
    </w:rPr>
  </w:style>
  <w:style w:type="paragraph" w:customStyle="1" w:styleId="KWBodytext">
    <w:name w:val="K&amp;W Body text"/>
    <w:basedOn w:val="a"/>
    <w:link w:val="KWBodytextCharChar"/>
    <w:qFormat/>
    <w:rsid w:val="008768CC"/>
    <w:pPr>
      <w:spacing w:after="360" w:line="320" w:lineRule="atLeast"/>
      <w:ind w:firstLine="200"/>
    </w:pPr>
    <w:rPr>
      <w:rFonts w:ascii="Arial" w:eastAsia="楷体_GB2312" w:hAnsi="Arial" w:cstheme="minorBidi"/>
      <w:sz w:val="24"/>
      <w:szCs w:val="22"/>
      <w:lang w:eastAsia="en-US"/>
    </w:rPr>
  </w:style>
  <w:style w:type="paragraph" w:customStyle="1" w:styleId="12">
    <w:name w:val="日期1"/>
    <w:basedOn w:val="a"/>
    <w:next w:val="a"/>
    <w:qFormat/>
    <w:rsid w:val="008768CC"/>
    <w:pPr>
      <w:widowControl w:val="0"/>
      <w:autoSpaceDE w:val="0"/>
      <w:autoSpaceDN w:val="0"/>
      <w:adjustRightInd w:val="0"/>
      <w:spacing w:line="240" w:lineRule="auto"/>
      <w:ind w:firstLineChars="0" w:firstLine="0"/>
      <w:textAlignment w:val="baseline"/>
    </w:pPr>
    <w:rPr>
      <w:rFonts w:ascii="宋体" w:eastAsia="宋体" w:hAnsi="宋体"/>
      <w:sz w:val="30"/>
      <w:szCs w:val="20"/>
    </w:rPr>
  </w:style>
  <w:style w:type="paragraph" w:styleId="affe">
    <w:name w:val="No Spacing"/>
    <w:uiPriority w:val="1"/>
    <w:qFormat/>
    <w:rsid w:val="008768CC"/>
    <w:pPr>
      <w:widowControl w:val="0"/>
      <w:jc w:val="both"/>
    </w:pPr>
    <w:rPr>
      <w:rFonts w:ascii="Calibri" w:eastAsia="宋体" w:hAnsi="Calibri" w:cs="Times New Roman"/>
    </w:rPr>
  </w:style>
  <w:style w:type="paragraph" w:styleId="afff">
    <w:name w:val="List Paragraph"/>
    <w:basedOn w:val="a"/>
    <w:uiPriority w:val="34"/>
    <w:qFormat/>
    <w:rsid w:val="008768CC"/>
    <w:pPr>
      <w:widowControl w:val="0"/>
      <w:spacing w:line="240" w:lineRule="auto"/>
      <w:ind w:firstLine="420"/>
    </w:pPr>
    <w:rPr>
      <w:rFonts w:ascii="Calibri" w:eastAsia="宋体" w:hAnsi="Calibri" w:cs="Calibri"/>
      <w:sz w:val="21"/>
      <w:szCs w:val="21"/>
    </w:rPr>
  </w:style>
  <w:style w:type="paragraph" w:customStyle="1" w:styleId="KWheading1">
    <w:name w:val="K&amp;W heading 1"/>
    <w:basedOn w:val="a"/>
    <w:next w:val="a"/>
    <w:qFormat/>
    <w:rsid w:val="008768CC"/>
    <w:pPr>
      <w:keepNext/>
      <w:widowControl w:val="0"/>
      <w:tabs>
        <w:tab w:val="left" w:pos="567"/>
      </w:tabs>
      <w:spacing w:after="360" w:line="320" w:lineRule="exact"/>
      <w:ind w:firstLineChars="0" w:firstLine="0"/>
      <w:outlineLvl w:val="0"/>
    </w:pPr>
    <w:rPr>
      <w:rFonts w:ascii="Arial" w:eastAsia="楷体_GB2312" w:hAnsi="Arial" w:cs="Arial"/>
      <w:b/>
      <w:bCs/>
      <w:kern w:val="0"/>
      <w:sz w:val="28"/>
      <w:szCs w:val="28"/>
      <w:lang w:eastAsia="en-US"/>
    </w:rPr>
  </w:style>
  <w:style w:type="paragraph" w:customStyle="1" w:styleId="13">
    <w:name w:val="样式1"/>
    <w:basedOn w:val="1"/>
    <w:qFormat/>
    <w:rsid w:val="008768CC"/>
    <w:pPr>
      <w:widowControl w:val="0"/>
      <w:spacing w:before="0" w:after="0" w:line="600" w:lineRule="exact"/>
      <w:ind w:firstLineChars="0" w:firstLine="0"/>
      <w:jc w:val="center"/>
    </w:pPr>
    <w:rPr>
      <w:rFonts w:ascii="创艺简标宋" w:eastAsia="创艺简标宋" w:hAnsiTheme="majorEastAsia"/>
      <w:b w:val="0"/>
      <w:spacing w:val="-2"/>
      <w:szCs w:val="36"/>
    </w:rPr>
  </w:style>
  <w:style w:type="paragraph" w:customStyle="1" w:styleId="Charf5">
    <w:name w:val="Char"/>
    <w:basedOn w:val="a"/>
    <w:qFormat/>
    <w:rsid w:val="008768CC"/>
    <w:pPr>
      <w:widowControl w:val="0"/>
      <w:tabs>
        <w:tab w:val="left" w:pos="360"/>
      </w:tabs>
      <w:spacing w:afterLines="50" w:line="240" w:lineRule="auto"/>
      <w:ind w:firstLine="200"/>
    </w:pPr>
    <w:rPr>
      <w:rFonts w:ascii="Times New Roman" w:hAnsi="Times New Roman"/>
      <w:sz w:val="24"/>
      <w:szCs w:val="24"/>
    </w:rPr>
  </w:style>
  <w:style w:type="paragraph" w:customStyle="1" w:styleId="CharCharCharCharCharCharCharCharCharCharCharChar1Char">
    <w:name w:val="Char Char Char Char Char Char Char Char Char Char Char Char1 Char"/>
    <w:basedOn w:val="a"/>
    <w:qFormat/>
    <w:rsid w:val="008768CC"/>
    <w:pPr>
      <w:widowControl w:val="0"/>
      <w:spacing w:line="240" w:lineRule="auto"/>
      <w:ind w:firstLineChars="0" w:firstLine="0"/>
    </w:pPr>
    <w:rPr>
      <w:rFonts w:ascii="Times New Roman" w:eastAsia="宋体" w:hAnsi="Times New Roman"/>
      <w:sz w:val="21"/>
      <w:szCs w:val="24"/>
    </w:rPr>
  </w:style>
  <w:style w:type="paragraph" w:customStyle="1" w:styleId="CharChar1">
    <w:name w:val="Char Char1"/>
    <w:basedOn w:val="a"/>
    <w:qFormat/>
    <w:rsid w:val="008768CC"/>
    <w:pPr>
      <w:widowControl w:val="0"/>
      <w:spacing w:line="360" w:lineRule="auto"/>
      <w:ind w:firstLineChars="0" w:firstLine="0"/>
    </w:pPr>
    <w:rPr>
      <w:rFonts w:ascii="Tahoma" w:hAnsi="Tahoma"/>
      <w:szCs w:val="21"/>
    </w:rPr>
  </w:style>
  <w:style w:type="paragraph" w:customStyle="1" w:styleId="CharChar3">
    <w:name w:val="Char Char3"/>
    <w:basedOn w:val="a"/>
    <w:qFormat/>
    <w:rsid w:val="008768CC"/>
    <w:pPr>
      <w:widowControl w:val="0"/>
      <w:spacing w:line="240" w:lineRule="auto"/>
      <w:ind w:firstLineChars="0" w:firstLine="0"/>
    </w:pPr>
    <w:rPr>
      <w:rFonts w:ascii="Tahoma" w:hAnsi="Tahoma" w:cs="宋体"/>
      <w:sz w:val="24"/>
      <w:szCs w:val="20"/>
    </w:rPr>
  </w:style>
  <w:style w:type="paragraph" w:customStyle="1" w:styleId="CharChar4">
    <w:name w:val="Char Char4"/>
    <w:basedOn w:val="a"/>
    <w:qFormat/>
    <w:rsid w:val="008768CC"/>
    <w:pPr>
      <w:widowControl w:val="0"/>
      <w:snapToGrid w:val="0"/>
      <w:spacing w:line="240" w:lineRule="auto"/>
      <w:ind w:firstLineChars="0" w:firstLine="0"/>
    </w:pPr>
    <w:rPr>
      <w:rFonts w:hAnsi="Times New Roman"/>
      <w:kern w:val="0"/>
    </w:rPr>
  </w:style>
  <w:style w:type="paragraph" w:customStyle="1" w:styleId="CharCharCharChar">
    <w:name w:val="Char Char Char Char"/>
    <w:basedOn w:val="a"/>
    <w:qFormat/>
    <w:rsid w:val="008768CC"/>
    <w:pPr>
      <w:widowControl w:val="0"/>
      <w:spacing w:line="240" w:lineRule="auto"/>
      <w:ind w:firstLineChars="0" w:firstLine="0"/>
    </w:pPr>
    <w:rPr>
      <w:rFonts w:ascii="Times New Roman" w:hAnsi="Times New Roman"/>
      <w:szCs w:val="21"/>
    </w:rPr>
  </w:style>
  <w:style w:type="paragraph" w:customStyle="1" w:styleId="Char13">
    <w:name w:val="Char1"/>
    <w:basedOn w:val="a"/>
    <w:qFormat/>
    <w:rsid w:val="008768CC"/>
    <w:pPr>
      <w:widowControl w:val="0"/>
      <w:spacing w:line="240" w:lineRule="auto"/>
      <w:ind w:firstLineChars="0" w:firstLine="0"/>
    </w:pPr>
    <w:rPr>
      <w:rFonts w:ascii="Tahoma" w:hAnsi="Tahoma" w:cs="宋体"/>
      <w:sz w:val="24"/>
      <w:szCs w:val="20"/>
    </w:rPr>
  </w:style>
  <w:style w:type="paragraph" w:customStyle="1" w:styleId="CharCharCharCharCharChar1Char">
    <w:name w:val="Char Char Char Char Char Char1 Char"/>
    <w:basedOn w:val="a"/>
    <w:qFormat/>
    <w:rsid w:val="008768CC"/>
    <w:pPr>
      <w:spacing w:after="160" w:line="240" w:lineRule="exact"/>
      <w:ind w:firstLineChars="0" w:firstLine="0"/>
      <w:jc w:val="left"/>
    </w:pPr>
    <w:rPr>
      <w:rFonts w:ascii="Times New Roman" w:hAnsi="Times New Roman"/>
      <w:szCs w:val="24"/>
    </w:rPr>
  </w:style>
  <w:style w:type="paragraph" w:customStyle="1" w:styleId="Char20">
    <w:name w:val="Char2"/>
    <w:basedOn w:val="a"/>
    <w:qFormat/>
    <w:rsid w:val="008768CC"/>
    <w:pPr>
      <w:widowControl w:val="0"/>
      <w:spacing w:line="240" w:lineRule="auto"/>
      <w:ind w:firstLineChars="0" w:firstLine="0"/>
    </w:pPr>
    <w:rPr>
      <w:rFonts w:ascii="Tahoma" w:eastAsia="宋体" w:hAnsi="Tahoma" w:cs="Tahoma"/>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8768CC"/>
    <w:pPr>
      <w:widowControl w:val="0"/>
      <w:spacing w:line="240" w:lineRule="auto"/>
      <w:ind w:firstLineChars="0" w:firstLine="0"/>
    </w:pPr>
    <w:rPr>
      <w:rFonts w:ascii="Times New Roman" w:eastAsia="宋体" w:hAnsi="Times New Roman"/>
      <w:sz w:val="21"/>
      <w:szCs w:val="21"/>
    </w:rPr>
  </w:style>
  <w:style w:type="paragraph" w:customStyle="1" w:styleId="CharCharCharCharCharCharCharCharCharCharCharCharChar1">
    <w:name w:val="Char Char Char Char Char Char Char Char Char Char Char Char Char1"/>
    <w:basedOn w:val="a"/>
    <w:qFormat/>
    <w:rsid w:val="008768CC"/>
    <w:pPr>
      <w:widowControl w:val="0"/>
      <w:spacing w:line="240" w:lineRule="auto"/>
      <w:ind w:firstLineChars="0" w:firstLine="0"/>
    </w:pPr>
    <w:rPr>
      <w:rFonts w:ascii="Times New Roman" w:eastAsia="宋体" w:hAnsi="Times New Roman"/>
      <w:sz w:val="21"/>
      <w:szCs w:val="21"/>
    </w:rPr>
  </w:style>
  <w:style w:type="paragraph" w:customStyle="1" w:styleId="Normal">
    <w:name w:val="[Normal]"/>
    <w:qFormat/>
    <w:rsid w:val="008768CC"/>
    <w:rPr>
      <w:rFonts w:ascii="宋体" w:eastAsia="宋体" w:hAnsi="宋体" w:cs="宋体"/>
      <w:kern w:val="0"/>
      <w:sz w:val="24"/>
      <w:szCs w:val="24"/>
      <w:lang w:eastAsia="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768CC"/>
    <w:pPr>
      <w:widowControl w:val="0"/>
      <w:spacing w:line="240" w:lineRule="auto"/>
      <w:ind w:firstLineChars="0" w:firstLine="0"/>
    </w:pPr>
    <w:rPr>
      <w:rFonts w:ascii="Times New Roman" w:eastAsia="宋体" w:hAnsi="Times New Roman"/>
      <w:sz w:val="21"/>
      <w:szCs w:val="24"/>
    </w:rPr>
  </w:style>
  <w:style w:type="paragraph" w:customStyle="1" w:styleId="p0">
    <w:name w:val="p0"/>
    <w:basedOn w:val="a"/>
    <w:qFormat/>
    <w:rsid w:val="008768CC"/>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CharCharChar">
    <w:name w:val="Char Char Char"/>
    <w:basedOn w:val="a"/>
    <w:qFormat/>
    <w:rsid w:val="008768CC"/>
    <w:pPr>
      <w:widowControl w:val="0"/>
      <w:snapToGrid w:val="0"/>
      <w:spacing w:line="240" w:lineRule="auto"/>
      <w:ind w:firstLineChars="0" w:firstLine="0"/>
    </w:pPr>
    <w:rPr>
      <w:rFonts w:hAnsi="Times New Roman"/>
      <w:kern w:val="0"/>
    </w:rPr>
  </w:style>
  <w:style w:type="paragraph" w:customStyle="1" w:styleId="CharCharCharCharCharCharChar">
    <w:name w:val="Char Char Char Char Char Char Char"/>
    <w:basedOn w:val="a"/>
    <w:qFormat/>
    <w:rsid w:val="008768CC"/>
    <w:pPr>
      <w:widowControl w:val="0"/>
      <w:spacing w:line="240" w:lineRule="auto"/>
      <w:ind w:firstLineChars="0" w:firstLine="0"/>
    </w:pPr>
    <w:rPr>
      <w:rFonts w:ascii="Times New Roman" w:eastAsia="宋体" w:hAnsi="Times New Roman"/>
      <w:sz w:val="21"/>
      <w:szCs w:val="21"/>
    </w:rPr>
  </w:style>
  <w:style w:type="paragraph" w:customStyle="1" w:styleId="CharCharCharChar1">
    <w:name w:val="Char Char Char Char1"/>
    <w:basedOn w:val="a"/>
    <w:qFormat/>
    <w:rsid w:val="008768CC"/>
    <w:pPr>
      <w:widowControl w:val="0"/>
      <w:spacing w:line="240" w:lineRule="auto"/>
      <w:ind w:firstLineChars="0" w:firstLine="0"/>
    </w:pPr>
    <w:rPr>
      <w:rFonts w:ascii="Times New Roman" w:eastAsia="宋体" w:hAnsi="Times New Roman"/>
      <w:sz w:val="21"/>
      <w:szCs w:val="21"/>
    </w:rPr>
  </w:style>
  <w:style w:type="paragraph" w:customStyle="1" w:styleId="afff0">
    <w:name w:val="公文"/>
    <w:basedOn w:val="a"/>
    <w:qFormat/>
    <w:rsid w:val="008768CC"/>
    <w:pPr>
      <w:widowControl w:val="0"/>
      <w:spacing w:line="520" w:lineRule="exact"/>
      <w:ind w:firstLineChars="0" w:firstLine="0"/>
    </w:pPr>
    <w:rPr>
      <w:rFonts w:ascii="宋体" w:eastAsia="宋体" w:hAnsi="宋体" w:cs="宋体"/>
      <w:b/>
      <w:bCs/>
      <w:sz w:val="28"/>
      <w:szCs w:val="28"/>
    </w:rPr>
  </w:style>
  <w:style w:type="paragraph" w:customStyle="1" w:styleId="KWNormal">
    <w:name w:val="K&amp;W Normal"/>
    <w:qFormat/>
    <w:rsid w:val="008768CC"/>
    <w:pPr>
      <w:spacing w:after="360" w:line="320" w:lineRule="atLeast"/>
      <w:jc w:val="both"/>
    </w:pPr>
    <w:rPr>
      <w:rFonts w:ascii="Arial" w:eastAsia="楷体_GB2312" w:hAnsi="Arial" w:cs="Arial"/>
      <w:color w:val="000000"/>
      <w:kern w:val="0"/>
      <w:sz w:val="24"/>
      <w:szCs w:val="24"/>
      <w:lang w:eastAsia="en-US"/>
    </w:rPr>
  </w:style>
  <w:style w:type="paragraph" w:customStyle="1" w:styleId="CharCharCharCharCharCharCharCharCharCharCharCharChar">
    <w:name w:val="Char Char Char Char Char Char Char Char Char Char Char Char Char"/>
    <w:basedOn w:val="a"/>
    <w:qFormat/>
    <w:rsid w:val="008768CC"/>
    <w:pPr>
      <w:widowControl w:val="0"/>
      <w:spacing w:line="240" w:lineRule="auto"/>
      <w:ind w:firstLineChars="0" w:firstLine="0"/>
    </w:pPr>
    <w:rPr>
      <w:rFonts w:ascii="Times New Roman" w:eastAsia="宋体" w:hAnsi="Times New Roman"/>
      <w:sz w:val="21"/>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8768CC"/>
    <w:pPr>
      <w:widowControl w:val="0"/>
      <w:tabs>
        <w:tab w:val="left" w:pos="360"/>
      </w:tabs>
      <w:spacing w:line="240" w:lineRule="auto"/>
      <w:ind w:firstLine="200"/>
    </w:pPr>
    <w:rPr>
      <w:rFonts w:ascii="Times New Roman" w:hAnsi="Times New Roman"/>
      <w:sz w:val="24"/>
    </w:rPr>
  </w:style>
  <w:style w:type="paragraph" w:customStyle="1" w:styleId="afff1">
    <w:name w:val="正文 软件"/>
    <w:basedOn w:val="af5"/>
    <w:qFormat/>
    <w:rsid w:val="008768CC"/>
    <w:pPr>
      <w:tabs>
        <w:tab w:val="left" w:pos="590"/>
      </w:tabs>
      <w:spacing w:beforeLines="50" w:afterLines="50" w:line="360" w:lineRule="auto"/>
      <w:ind w:leftChars="1" w:left="2" w:firstLineChars="200" w:firstLine="640"/>
    </w:pPr>
    <w:rPr>
      <w:rFonts w:ascii="仿宋_GB2312" w:eastAsia="仿宋_GB2312" w:cs="宋体" w:hint="eastAsia"/>
      <w:sz w:val="32"/>
      <w:szCs w:val="32"/>
    </w:rPr>
  </w:style>
  <w:style w:type="paragraph" w:customStyle="1" w:styleId="14">
    <w:name w:val="列出段落1"/>
    <w:basedOn w:val="a"/>
    <w:uiPriority w:val="99"/>
    <w:qFormat/>
    <w:rsid w:val="008768CC"/>
    <w:pPr>
      <w:widowControl w:val="0"/>
      <w:spacing w:line="240" w:lineRule="auto"/>
      <w:ind w:firstLine="420"/>
    </w:pPr>
    <w:rPr>
      <w:rFonts w:ascii="Calibri" w:eastAsia="宋体" w:hAnsi="Calibri" w:cs="Calibri"/>
      <w:sz w:val="21"/>
      <w:szCs w:val="21"/>
    </w:rPr>
  </w:style>
  <w:style w:type="paragraph" w:customStyle="1" w:styleId="29">
    <w:name w:val="日期2"/>
    <w:basedOn w:val="a"/>
    <w:next w:val="a"/>
    <w:qFormat/>
    <w:rsid w:val="008768CC"/>
    <w:pPr>
      <w:widowControl w:val="0"/>
      <w:autoSpaceDE w:val="0"/>
      <w:autoSpaceDN w:val="0"/>
      <w:adjustRightInd w:val="0"/>
      <w:spacing w:line="240" w:lineRule="auto"/>
      <w:ind w:firstLineChars="0" w:firstLine="0"/>
    </w:pPr>
    <w:rPr>
      <w:rFonts w:ascii="宋体" w:eastAsia="宋体" w:hAnsi="宋体"/>
      <w:sz w:val="30"/>
      <w:szCs w:val="20"/>
    </w:rPr>
  </w:style>
  <w:style w:type="paragraph" w:customStyle="1" w:styleId="Char1CharCharCharCharCharCharCharCharChar">
    <w:name w:val="Char1 Char Char Char Char Char Char Char Char Char"/>
    <w:basedOn w:val="a"/>
    <w:qFormat/>
    <w:rsid w:val="008768CC"/>
    <w:pPr>
      <w:spacing w:after="160" w:line="240" w:lineRule="exact"/>
      <w:ind w:firstLineChars="0" w:firstLine="0"/>
      <w:jc w:val="left"/>
    </w:pPr>
    <w:rPr>
      <w:rFonts w:ascii="Verdana" w:eastAsia="宋体" w:hAnsi="Verdana" w:cs="Verdana"/>
      <w:kern w:val="0"/>
      <w:sz w:val="20"/>
      <w:szCs w:val="20"/>
      <w:lang w:eastAsia="en-US"/>
    </w:rPr>
  </w:style>
  <w:style w:type="paragraph" w:customStyle="1" w:styleId="reader-word-layerreader-word-s1-4">
    <w:name w:val="reader-word-layer reader-word-s1-4"/>
    <w:basedOn w:val="a"/>
    <w:qFormat/>
    <w:rsid w:val="008768CC"/>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msonormalcxspmiddle">
    <w:name w:val="msonormalcxspmiddle"/>
    <w:basedOn w:val="a"/>
    <w:qFormat/>
    <w:rsid w:val="008768CC"/>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reader-word-layerreader-word-s5-7">
    <w:name w:val="reader-word-layer reader-word-s5-7"/>
    <w:basedOn w:val="a"/>
    <w:qFormat/>
    <w:rsid w:val="008768CC"/>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KWheading5">
    <w:name w:val="K&amp;W heading 5"/>
    <w:basedOn w:val="a"/>
    <w:qFormat/>
    <w:rsid w:val="008768CC"/>
    <w:pPr>
      <w:tabs>
        <w:tab w:val="left" w:pos="1701"/>
      </w:tabs>
      <w:spacing w:after="360" w:line="320" w:lineRule="exact"/>
      <w:ind w:left="1701" w:firstLineChars="0" w:hanging="567"/>
      <w:outlineLvl w:val="4"/>
    </w:pPr>
    <w:rPr>
      <w:rFonts w:ascii="Arial" w:eastAsia="楷体_GB2312" w:hAnsi="Arial"/>
      <w:kern w:val="0"/>
      <w:sz w:val="24"/>
      <w:szCs w:val="20"/>
      <w:lang w:eastAsia="en-US"/>
    </w:rPr>
  </w:style>
  <w:style w:type="paragraph" w:customStyle="1" w:styleId="CharChar">
    <w:name w:val="正文 Char Char"/>
    <w:basedOn w:val="a"/>
    <w:qFormat/>
    <w:rsid w:val="008768CC"/>
    <w:pPr>
      <w:spacing w:line="240" w:lineRule="auto"/>
      <w:ind w:firstLineChars="0" w:firstLine="0"/>
    </w:pPr>
    <w:rPr>
      <w:rFonts w:ascii="Times New Roman" w:eastAsia="Times New Roman" w:hAnsi="Times New Roman"/>
      <w:kern w:val="0"/>
      <w:szCs w:val="20"/>
      <w:lang w:eastAsia="en-US"/>
    </w:rPr>
  </w:style>
  <w:style w:type="paragraph" w:customStyle="1" w:styleId="2a">
    <w:name w:val="列出段落2"/>
    <w:basedOn w:val="a"/>
    <w:qFormat/>
    <w:rsid w:val="008768CC"/>
    <w:pPr>
      <w:widowControl w:val="0"/>
      <w:spacing w:line="240" w:lineRule="auto"/>
      <w:ind w:firstLine="420"/>
    </w:pPr>
    <w:rPr>
      <w:rFonts w:ascii="Times New Roman" w:eastAsia="宋体" w:hAnsi="Times New Roman"/>
      <w:sz w:val="21"/>
      <w:szCs w:val="24"/>
    </w:rPr>
  </w:style>
  <w:style w:type="paragraph" w:customStyle="1" w:styleId="KWheading4">
    <w:name w:val="K&amp;W heading 4"/>
    <w:basedOn w:val="a"/>
    <w:qFormat/>
    <w:rsid w:val="008768CC"/>
    <w:pPr>
      <w:tabs>
        <w:tab w:val="left" w:pos="1134"/>
      </w:tabs>
      <w:spacing w:after="360" w:line="320" w:lineRule="exact"/>
      <w:ind w:left="1134" w:firstLineChars="0" w:hanging="567"/>
      <w:outlineLvl w:val="3"/>
    </w:pPr>
    <w:rPr>
      <w:rFonts w:ascii="Arial" w:eastAsia="楷体_GB2312" w:hAnsi="Arial"/>
      <w:kern w:val="0"/>
      <w:sz w:val="24"/>
      <w:szCs w:val="20"/>
      <w:lang w:eastAsia="en-US"/>
    </w:rPr>
  </w:style>
  <w:style w:type="paragraph" w:customStyle="1" w:styleId="15">
    <w:name w:val="1"/>
    <w:basedOn w:val="a"/>
    <w:qFormat/>
    <w:rsid w:val="008768CC"/>
    <w:pPr>
      <w:widowControl w:val="0"/>
      <w:spacing w:line="240" w:lineRule="auto"/>
      <w:ind w:firstLineChars="0" w:firstLine="0"/>
    </w:pPr>
    <w:rPr>
      <w:rFonts w:ascii="Times New Roman" w:eastAsia="宋体" w:hAnsi="Times New Roman"/>
      <w:sz w:val="21"/>
      <w:szCs w:val="24"/>
    </w:rPr>
  </w:style>
  <w:style w:type="paragraph" w:customStyle="1" w:styleId="CharCharChar1">
    <w:name w:val="Char Char Char1"/>
    <w:basedOn w:val="a"/>
    <w:qFormat/>
    <w:rsid w:val="008768CC"/>
    <w:pPr>
      <w:widowControl w:val="0"/>
      <w:snapToGrid w:val="0"/>
      <w:spacing w:line="240" w:lineRule="auto"/>
      <w:ind w:firstLineChars="0" w:firstLine="0"/>
    </w:pPr>
    <w:rPr>
      <w:rFonts w:hAnsi="Times New Roman" w:cs="仿宋_GB2312"/>
      <w:kern w:val="0"/>
    </w:rPr>
  </w:style>
  <w:style w:type="character" w:customStyle="1" w:styleId="KWheading2Char">
    <w:name w:val="K&amp;W heading 2 Char"/>
    <w:link w:val="KWheading2"/>
    <w:qFormat/>
    <w:locked/>
    <w:rsid w:val="008768CC"/>
    <w:rPr>
      <w:rFonts w:ascii="Arial" w:eastAsia="楷体_GB2312" w:hAnsi="Arial" w:cs="Arial"/>
      <w:sz w:val="24"/>
      <w:lang w:eastAsia="en-US"/>
    </w:rPr>
  </w:style>
  <w:style w:type="paragraph" w:customStyle="1" w:styleId="KWheading2">
    <w:name w:val="K&amp;W heading 2"/>
    <w:basedOn w:val="a"/>
    <w:next w:val="a"/>
    <w:link w:val="KWheading2Char"/>
    <w:qFormat/>
    <w:rsid w:val="008768CC"/>
    <w:pPr>
      <w:keepNext/>
      <w:widowControl w:val="0"/>
      <w:tabs>
        <w:tab w:val="left" w:pos="567"/>
      </w:tabs>
      <w:spacing w:after="360" w:line="320" w:lineRule="exact"/>
      <w:ind w:left="567" w:firstLineChars="0" w:hanging="567"/>
      <w:outlineLvl w:val="1"/>
    </w:pPr>
    <w:rPr>
      <w:rFonts w:ascii="Arial" w:eastAsia="楷体_GB2312" w:hAnsi="Arial" w:cs="Arial"/>
      <w:sz w:val="24"/>
      <w:szCs w:val="22"/>
      <w:lang w:eastAsia="en-US"/>
    </w:rPr>
  </w:style>
  <w:style w:type="paragraph" w:customStyle="1" w:styleId="KWheading3">
    <w:name w:val="K&amp;W heading 3"/>
    <w:basedOn w:val="a"/>
    <w:qFormat/>
    <w:rsid w:val="008768CC"/>
    <w:pPr>
      <w:tabs>
        <w:tab w:val="left" w:pos="567"/>
      </w:tabs>
      <w:spacing w:after="360" w:line="320" w:lineRule="exact"/>
      <w:ind w:left="567" w:firstLineChars="0" w:hanging="567"/>
      <w:outlineLvl w:val="2"/>
    </w:pPr>
    <w:rPr>
      <w:rFonts w:ascii="Arial" w:eastAsia="楷体_GB2312" w:hAnsi="Arial"/>
      <w:kern w:val="0"/>
      <w:sz w:val="24"/>
      <w:szCs w:val="20"/>
      <w:lang w:eastAsia="en-US"/>
    </w:rPr>
  </w:style>
  <w:style w:type="paragraph" w:customStyle="1" w:styleId="afff2">
    <w:name w:val="标题一"/>
    <w:basedOn w:val="1"/>
    <w:next w:val="KWBodytext"/>
    <w:qFormat/>
    <w:rsid w:val="008768CC"/>
    <w:pPr>
      <w:widowControl w:val="0"/>
      <w:tabs>
        <w:tab w:val="left" w:pos="567"/>
      </w:tabs>
      <w:spacing w:beforeLines="50" w:before="0" w:after="0" w:line="500" w:lineRule="exact"/>
      <w:ind w:firstLineChars="0" w:firstLine="0"/>
      <w:jc w:val="center"/>
    </w:pPr>
    <w:rPr>
      <w:rFonts w:ascii="创艺简标宋" w:eastAsia="创艺简标宋" w:hAnsiTheme="majorEastAsia"/>
      <w:spacing w:val="-2"/>
      <w:kern w:val="0"/>
      <w:szCs w:val="36"/>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a"/>
    <w:qFormat/>
    <w:rsid w:val="008768CC"/>
    <w:pPr>
      <w:widowControl w:val="0"/>
      <w:tabs>
        <w:tab w:val="left" w:pos="360"/>
      </w:tabs>
      <w:spacing w:line="240" w:lineRule="auto"/>
      <w:ind w:left="360" w:firstLineChars="0" w:hanging="360"/>
    </w:pPr>
    <w:rPr>
      <w:rFonts w:ascii="Times New Roman" w:hAnsi="Times New Roman"/>
      <w:sz w:val="24"/>
    </w:rPr>
  </w:style>
  <w:style w:type="character" w:customStyle="1" w:styleId="txtcontent11">
    <w:name w:val="txtcontent11"/>
    <w:uiPriority w:val="99"/>
    <w:qFormat/>
    <w:rsid w:val="008768CC"/>
    <w:rPr>
      <w:rFonts w:ascii="??" w:hAnsi="??" w:hint="default"/>
      <w:color w:val="000000"/>
      <w:sz w:val="21"/>
    </w:rPr>
  </w:style>
  <w:style w:type="character" w:customStyle="1" w:styleId="font01">
    <w:name w:val="font01"/>
    <w:qFormat/>
    <w:rsid w:val="008768CC"/>
    <w:rPr>
      <w:rFonts w:ascii="Tahoma" w:hAnsi="Tahoma" w:cs="Tahoma" w:hint="default"/>
      <w:color w:val="000000"/>
      <w:sz w:val="18"/>
      <w:szCs w:val="18"/>
      <w:u w:val="none"/>
    </w:rPr>
  </w:style>
  <w:style w:type="character" w:customStyle="1" w:styleId="CharChar2">
    <w:name w:val="Char Char2"/>
    <w:qFormat/>
    <w:rsid w:val="008768CC"/>
    <w:rPr>
      <w:rFonts w:ascii="Courier New" w:eastAsia="宋体" w:hAnsi="Courier New" w:cs="Courier New" w:hint="default"/>
      <w:kern w:val="2"/>
      <w:sz w:val="24"/>
      <w:lang w:val="en-US" w:eastAsia="zh-CN" w:bidi="ar-SA"/>
    </w:rPr>
  </w:style>
  <w:style w:type="character" w:customStyle="1" w:styleId="CharChar0">
    <w:name w:val="Char Char"/>
    <w:qFormat/>
    <w:rsid w:val="008768CC"/>
    <w:rPr>
      <w:kern w:val="2"/>
      <w:sz w:val="21"/>
      <w:szCs w:val="24"/>
      <w:shd w:val="clear" w:color="auto" w:fill="000080"/>
    </w:rPr>
  </w:style>
  <w:style w:type="character" w:customStyle="1" w:styleId="BalloonTextChar">
    <w:name w:val="Balloon Text Char"/>
    <w:qFormat/>
    <w:locked/>
    <w:rsid w:val="008768CC"/>
    <w:rPr>
      <w:rFonts w:ascii="Times New Roman" w:hAnsi="Times New Roman" w:cs="Times New Roman" w:hint="default"/>
      <w:sz w:val="18"/>
      <w:szCs w:val="18"/>
    </w:rPr>
  </w:style>
  <w:style w:type="character" w:customStyle="1" w:styleId="CharChar10">
    <w:name w:val="普通文字 Char Char1"/>
    <w:qFormat/>
    <w:locked/>
    <w:rsid w:val="008768CC"/>
    <w:rPr>
      <w:rFonts w:ascii="Courier New" w:eastAsia="宋体" w:hAnsi="Courier New" w:cs="Courier New" w:hint="default"/>
      <w:kern w:val="2"/>
      <w:sz w:val="24"/>
      <w:szCs w:val="24"/>
      <w:lang w:val="en-US" w:eastAsia="zh-CN"/>
    </w:rPr>
  </w:style>
  <w:style w:type="character" w:customStyle="1" w:styleId="CharChar5">
    <w:name w:val="普通文字 Char Char"/>
    <w:qFormat/>
    <w:rsid w:val="008768CC"/>
    <w:rPr>
      <w:rFonts w:ascii="Courier New" w:eastAsia="宋体" w:hAnsi="Courier New" w:cs="Courier New" w:hint="default"/>
      <w:kern w:val="2"/>
      <w:sz w:val="24"/>
      <w:szCs w:val="24"/>
      <w:lang w:val="en-US" w:eastAsia="zh-CN"/>
    </w:rPr>
  </w:style>
  <w:style w:type="character" w:customStyle="1" w:styleId="font21">
    <w:name w:val="font21"/>
    <w:qFormat/>
    <w:rsid w:val="008768CC"/>
    <w:rPr>
      <w:rFonts w:ascii="宋体" w:eastAsia="宋体" w:hAnsi="宋体" w:cs="宋体" w:hint="eastAsia"/>
      <w:color w:val="000000"/>
      <w:sz w:val="18"/>
      <w:szCs w:val="18"/>
      <w:u w:val="none"/>
    </w:rPr>
  </w:style>
  <w:style w:type="character" w:customStyle="1" w:styleId="Char14">
    <w:name w:val="文档结构图 Char1"/>
    <w:qFormat/>
    <w:rsid w:val="008768CC"/>
    <w:rPr>
      <w:rFonts w:ascii="宋体" w:eastAsia="宋体" w:hAnsi="宋体" w:hint="eastAsia"/>
      <w:kern w:val="2"/>
      <w:sz w:val="18"/>
      <w:szCs w:val="18"/>
    </w:rPr>
  </w:style>
  <w:style w:type="character" w:customStyle="1" w:styleId="Char15">
    <w:name w:val="批注主题 Char1"/>
    <w:qFormat/>
    <w:rsid w:val="008768CC"/>
    <w:rPr>
      <w:b/>
      <w:bCs/>
      <w:kern w:val="2"/>
      <w:sz w:val="21"/>
      <w:szCs w:val="24"/>
    </w:rPr>
  </w:style>
  <w:style w:type="character" w:customStyle="1" w:styleId="Char16">
    <w:name w:val="正文文本 Char1"/>
    <w:qFormat/>
    <w:rsid w:val="008768CC"/>
    <w:rPr>
      <w:kern w:val="2"/>
      <w:sz w:val="21"/>
      <w:szCs w:val="22"/>
    </w:rPr>
  </w:style>
  <w:style w:type="character" w:customStyle="1" w:styleId="articlef141">
    <w:name w:val="article_f141"/>
    <w:qFormat/>
    <w:rsid w:val="008768CC"/>
    <w:rPr>
      <w:color w:val="000000"/>
      <w:sz w:val="21"/>
      <w:szCs w:val="21"/>
    </w:rPr>
  </w:style>
  <w:style w:type="character" w:customStyle="1" w:styleId="Char17">
    <w:name w:val="副标题 Char1"/>
    <w:uiPriority w:val="11"/>
    <w:qFormat/>
    <w:rsid w:val="008768CC"/>
    <w:rPr>
      <w:rFonts w:ascii="Cambria" w:hAnsi="Cambria" w:cs="Times New Roman" w:hint="default"/>
      <w:b/>
      <w:bCs/>
      <w:kern w:val="28"/>
      <w:sz w:val="32"/>
      <w:szCs w:val="32"/>
    </w:rPr>
  </w:style>
  <w:style w:type="paragraph" w:customStyle="1" w:styleId="16">
    <w:name w:val="正文1"/>
    <w:qFormat/>
    <w:rsid w:val="008768CC"/>
    <w:pPr>
      <w:jc w:val="both"/>
    </w:pPr>
    <w:rPr>
      <w:rFonts w:ascii="Calibri" w:eastAsia="宋体" w:hAnsi="Calibri" w:cs="宋体"/>
      <w:szCs w:val="21"/>
    </w:rPr>
  </w:style>
  <w:style w:type="paragraph" w:customStyle="1" w:styleId="TOC2">
    <w:name w:val="TOC2"/>
    <w:basedOn w:val="a"/>
    <w:next w:val="a"/>
    <w:qFormat/>
    <w:rsid w:val="008768CC"/>
    <w:pPr>
      <w:spacing w:line="240" w:lineRule="auto"/>
      <w:ind w:leftChars="200" w:left="420" w:firstLineChars="0" w:firstLine="0"/>
      <w:textAlignment w:val="baseline"/>
    </w:pPr>
    <w:rPr>
      <w:rFonts w:ascii="Times New Roman" w:eastAsia="宋体" w:hAnsi="Times New Roman"/>
      <w:sz w:val="21"/>
      <w:szCs w:val="24"/>
    </w:rPr>
  </w:style>
  <w:style w:type="character" w:customStyle="1" w:styleId="NormalCharacter">
    <w:name w:val="NormalCharacter"/>
    <w:qFormat/>
    <w:rsid w:val="008768CC"/>
  </w:style>
  <w:style w:type="paragraph" w:customStyle="1" w:styleId="CharCharCharCharCharCharCharCharCharCharCharCharCharCharCharCharCharChar">
    <w:name w:val="Char Char Char Char Char Char Char Char Char Char Char Char Char Char Char Char Char Char"/>
    <w:basedOn w:val="a"/>
    <w:qFormat/>
    <w:rsid w:val="008768CC"/>
    <w:pPr>
      <w:widowControl w:val="0"/>
      <w:tabs>
        <w:tab w:val="left" w:pos="360"/>
      </w:tabs>
      <w:spacing w:line="240" w:lineRule="auto"/>
      <w:ind w:firstLineChars="0" w:firstLine="0"/>
    </w:pPr>
    <w:rPr>
      <w:rFonts w:ascii="Times New Roman" w:eastAsia="宋体" w:hAnsi="Times New Roman"/>
      <w:sz w:val="24"/>
      <w:szCs w:val="24"/>
    </w:rPr>
  </w:style>
  <w:style w:type="paragraph" w:customStyle="1" w:styleId="38">
    <w:name w:val="列出段落3"/>
    <w:basedOn w:val="a"/>
    <w:qFormat/>
    <w:rsid w:val="008768CC"/>
    <w:pPr>
      <w:widowControl w:val="0"/>
      <w:spacing w:line="240" w:lineRule="auto"/>
      <w:ind w:firstLine="420"/>
    </w:pPr>
    <w:rPr>
      <w:rFonts w:ascii="Calibri" w:eastAsia="宋体" w:hAnsi="Calibri"/>
      <w:sz w:val="21"/>
      <w:szCs w:val="21"/>
    </w:rPr>
  </w:style>
  <w:style w:type="paragraph" w:customStyle="1" w:styleId="CharCharCharCharCharCharCharCharCharCharCharChar1Char1">
    <w:name w:val="Char Char Char Char Char Char Char Char Char Char Char Char1 Char1"/>
    <w:basedOn w:val="a"/>
    <w:qFormat/>
    <w:rsid w:val="008768CC"/>
    <w:pPr>
      <w:widowControl w:val="0"/>
      <w:spacing w:line="240" w:lineRule="auto"/>
      <w:ind w:firstLineChars="0" w:firstLine="0"/>
    </w:pPr>
    <w:rPr>
      <w:rFonts w:ascii="Times New Roman" w:eastAsia="宋体" w:hAnsi="Times New Roman"/>
      <w:sz w:val="21"/>
      <w:szCs w:val="24"/>
    </w:rPr>
  </w:style>
  <w:style w:type="paragraph" w:customStyle="1" w:styleId="CharCharCharCharCharChar1Char1">
    <w:name w:val="Char Char Char Char Char Char1 Char1"/>
    <w:basedOn w:val="a"/>
    <w:qFormat/>
    <w:rsid w:val="008768CC"/>
    <w:pPr>
      <w:spacing w:after="160" w:line="240" w:lineRule="exact"/>
      <w:ind w:firstLineChars="0" w:firstLine="0"/>
      <w:jc w:val="left"/>
    </w:pPr>
    <w:rPr>
      <w:rFonts w:ascii="Times New Roman" w:hAnsi="Times New Roman"/>
      <w:szCs w:val="24"/>
    </w:rPr>
  </w:style>
  <w:style w:type="paragraph" w:customStyle="1" w:styleId="Char110">
    <w:name w:val="Char11"/>
    <w:basedOn w:val="a"/>
    <w:qFormat/>
    <w:rsid w:val="008768CC"/>
    <w:pPr>
      <w:widowControl w:val="0"/>
      <w:spacing w:line="240" w:lineRule="auto"/>
      <w:ind w:firstLineChars="0" w:firstLine="0"/>
    </w:pPr>
    <w:rPr>
      <w:rFonts w:ascii="Times New Roman" w:eastAsia="宋体" w:hAnsi="Times New Roman"/>
      <w:sz w:val="21"/>
      <w:szCs w:val="24"/>
    </w:rPr>
  </w:style>
  <w:style w:type="paragraph" w:customStyle="1" w:styleId="Char120">
    <w:name w:val="Char12"/>
    <w:basedOn w:val="a"/>
    <w:qFormat/>
    <w:rsid w:val="008768CC"/>
    <w:pPr>
      <w:widowControl w:val="0"/>
      <w:spacing w:line="240" w:lineRule="auto"/>
      <w:ind w:firstLineChars="0" w:firstLine="0"/>
    </w:pPr>
    <w:rPr>
      <w:rFonts w:ascii="Tahoma" w:hAnsi="Tahoma" w:cs="宋体"/>
      <w:sz w:val="24"/>
      <w:szCs w:val="20"/>
    </w:rPr>
  </w:style>
  <w:style w:type="paragraph" w:customStyle="1" w:styleId="TOC1">
    <w:name w:val="TOC 标题1"/>
    <w:basedOn w:val="1"/>
    <w:next w:val="a"/>
    <w:uiPriority w:val="39"/>
    <w:semiHidden/>
    <w:unhideWhenUsed/>
    <w:qFormat/>
    <w:rsid w:val="008768CC"/>
    <w:pPr>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7">
    <w:name w:val="修订1"/>
    <w:hidden/>
    <w:uiPriority w:val="99"/>
    <w:semiHidden/>
    <w:qFormat/>
    <w:rsid w:val="008768CC"/>
    <w:rPr>
      <w:rFonts w:ascii="Times New Roman" w:eastAsia="宋体" w:hAnsi="Times New Roman" w:cs="Times New Roman"/>
      <w:szCs w:val="21"/>
    </w:rPr>
  </w:style>
  <w:style w:type="character" w:customStyle="1" w:styleId="HTMLChar1">
    <w:name w:val="HTML 预设格式 Char1"/>
    <w:basedOn w:val="a0"/>
    <w:uiPriority w:val="99"/>
    <w:semiHidden/>
    <w:qFormat/>
    <w:rsid w:val="008768CC"/>
    <w:rPr>
      <w:rFonts w:ascii="Courier New" w:eastAsia="宋体" w:hAnsi="Courier New" w:cs="Courier New"/>
      <w:sz w:val="20"/>
      <w:szCs w:val="20"/>
    </w:rPr>
  </w:style>
  <w:style w:type="character" w:customStyle="1" w:styleId="CharChar6">
    <w:name w:val="Char Char6"/>
    <w:semiHidden/>
    <w:qFormat/>
    <w:locked/>
    <w:rsid w:val="008768CC"/>
    <w:rPr>
      <w:rFonts w:eastAsia="宋体"/>
      <w:kern w:val="2"/>
      <w:sz w:val="18"/>
      <w:szCs w:val="18"/>
      <w:lang w:val="en-US" w:eastAsia="zh-CN" w:bidi="ar-SA"/>
    </w:rPr>
  </w:style>
  <w:style w:type="character" w:customStyle="1" w:styleId="CharChar50">
    <w:name w:val="Char Char5"/>
    <w:semiHidden/>
    <w:qFormat/>
    <w:locked/>
    <w:rsid w:val="008768CC"/>
    <w:rPr>
      <w:rFonts w:eastAsia="宋体"/>
      <w:kern w:val="2"/>
      <w:sz w:val="18"/>
      <w:szCs w:val="18"/>
      <w:lang w:val="en-US" w:eastAsia="zh-CN" w:bidi="ar-SA"/>
    </w:rPr>
  </w:style>
  <w:style w:type="character" w:customStyle="1" w:styleId="CharChar7">
    <w:name w:val="Char Char7"/>
    <w:semiHidden/>
    <w:qFormat/>
    <w:locked/>
    <w:rsid w:val="008768CC"/>
    <w:rPr>
      <w:rFonts w:eastAsia="宋体"/>
      <w:kern w:val="2"/>
      <w:sz w:val="21"/>
      <w:szCs w:val="21"/>
      <w:lang w:val="en-US" w:eastAsia="zh-CN" w:bidi="ar-SA"/>
    </w:rPr>
  </w:style>
  <w:style w:type="character" w:customStyle="1" w:styleId="Char18">
    <w:name w:val="宏文本 Char1"/>
    <w:basedOn w:val="a0"/>
    <w:uiPriority w:val="99"/>
    <w:semiHidden/>
    <w:qFormat/>
    <w:rsid w:val="008768CC"/>
    <w:rPr>
      <w:rFonts w:ascii="Courier New" w:eastAsia="宋体" w:hAnsi="Courier New" w:cs="Courier New"/>
      <w:sz w:val="24"/>
      <w:szCs w:val="24"/>
    </w:rPr>
  </w:style>
  <w:style w:type="character" w:customStyle="1" w:styleId="Char19">
    <w:name w:val="称呼 Char1"/>
    <w:basedOn w:val="a0"/>
    <w:uiPriority w:val="99"/>
    <w:semiHidden/>
    <w:qFormat/>
    <w:rsid w:val="008768CC"/>
    <w:rPr>
      <w:rFonts w:ascii="Calibri" w:eastAsia="宋体" w:hAnsi="Calibri" w:cs="Times New Roman"/>
    </w:rPr>
  </w:style>
  <w:style w:type="character" w:customStyle="1" w:styleId="Char1a">
    <w:name w:val="签名 Char1"/>
    <w:basedOn w:val="a0"/>
    <w:uiPriority w:val="99"/>
    <w:semiHidden/>
    <w:qFormat/>
    <w:rsid w:val="008768CC"/>
    <w:rPr>
      <w:rFonts w:ascii="Calibri" w:eastAsia="宋体" w:hAnsi="Calibri" w:cs="Times New Roman"/>
    </w:rPr>
  </w:style>
  <w:style w:type="character" w:customStyle="1" w:styleId="Char1b">
    <w:name w:val="尾注文本 Char1"/>
    <w:basedOn w:val="a0"/>
    <w:uiPriority w:val="99"/>
    <w:semiHidden/>
    <w:qFormat/>
    <w:rsid w:val="008768CC"/>
    <w:rPr>
      <w:rFonts w:ascii="Calibri" w:eastAsia="宋体" w:hAnsi="Calibri" w:cs="Times New Roman"/>
    </w:rPr>
  </w:style>
  <w:style w:type="character" w:customStyle="1" w:styleId="HTMLChar10">
    <w:name w:val="HTML 地址 Char1"/>
    <w:basedOn w:val="a0"/>
    <w:uiPriority w:val="99"/>
    <w:semiHidden/>
    <w:qFormat/>
    <w:rsid w:val="008768CC"/>
    <w:rPr>
      <w:rFonts w:ascii="Calibri" w:eastAsia="宋体" w:hAnsi="Calibri" w:cs="Times New Roman"/>
      <w:i/>
      <w:iCs/>
    </w:rPr>
  </w:style>
  <w:style w:type="character" w:customStyle="1" w:styleId="Char1c">
    <w:name w:val="注释标题 Char1"/>
    <w:basedOn w:val="a0"/>
    <w:uiPriority w:val="99"/>
    <w:semiHidden/>
    <w:qFormat/>
    <w:rsid w:val="008768CC"/>
    <w:rPr>
      <w:rFonts w:ascii="Calibri" w:eastAsia="宋体" w:hAnsi="Calibri" w:cs="Times New Roman"/>
    </w:rPr>
  </w:style>
  <w:style w:type="character" w:customStyle="1" w:styleId="3Char10">
    <w:name w:val="正文文本 3 Char1"/>
    <w:basedOn w:val="a0"/>
    <w:uiPriority w:val="99"/>
    <w:semiHidden/>
    <w:qFormat/>
    <w:rsid w:val="008768CC"/>
    <w:rPr>
      <w:rFonts w:ascii="Calibri" w:eastAsia="宋体" w:hAnsi="Calibri" w:cs="Times New Roman"/>
      <w:sz w:val="16"/>
      <w:szCs w:val="16"/>
    </w:rPr>
  </w:style>
  <w:style w:type="character" w:customStyle="1" w:styleId="Char1d">
    <w:name w:val="电子邮件签名 Char1"/>
    <w:basedOn w:val="a0"/>
    <w:uiPriority w:val="99"/>
    <w:semiHidden/>
    <w:qFormat/>
    <w:rsid w:val="008768CC"/>
    <w:rPr>
      <w:rFonts w:ascii="Calibri" w:eastAsia="宋体" w:hAnsi="Calibri" w:cs="Times New Roman"/>
    </w:rPr>
  </w:style>
  <w:style w:type="character" w:customStyle="1" w:styleId="Char1e">
    <w:name w:val="结束语 Char1"/>
    <w:basedOn w:val="a0"/>
    <w:uiPriority w:val="99"/>
    <w:semiHidden/>
    <w:qFormat/>
    <w:rsid w:val="008768CC"/>
    <w:rPr>
      <w:rFonts w:ascii="Calibri" w:eastAsia="宋体" w:hAnsi="Calibri" w:cs="Times New Roman"/>
    </w:rPr>
  </w:style>
  <w:style w:type="character" w:customStyle="1" w:styleId="Char1f">
    <w:name w:val="脚注文本 Char1"/>
    <w:basedOn w:val="a0"/>
    <w:uiPriority w:val="99"/>
    <w:semiHidden/>
    <w:qFormat/>
    <w:rsid w:val="008768CC"/>
    <w:rPr>
      <w:rFonts w:ascii="Calibri" w:eastAsia="宋体" w:hAnsi="Calibri" w:cs="Times New Roman"/>
      <w:sz w:val="18"/>
      <w:szCs w:val="18"/>
    </w:rPr>
  </w:style>
  <w:style w:type="character" w:customStyle="1" w:styleId="2Char10">
    <w:name w:val="正文文本 2 Char1"/>
    <w:basedOn w:val="a0"/>
    <w:uiPriority w:val="99"/>
    <w:semiHidden/>
    <w:qFormat/>
    <w:rsid w:val="008768CC"/>
    <w:rPr>
      <w:rFonts w:ascii="Calibri" w:eastAsia="宋体" w:hAnsi="Calibri" w:cs="Times New Roman"/>
    </w:rPr>
  </w:style>
  <w:style w:type="character" w:customStyle="1" w:styleId="Char1f0">
    <w:name w:val="信息标题 Char1"/>
    <w:basedOn w:val="a0"/>
    <w:uiPriority w:val="99"/>
    <w:semiHidden/>
    <w:qFormat/>
    <w:rsid w:val="008768CC"/>
    <w:rPr>
      <w:rFonts w:asciiTheme="majorHAnsi" w:eastAsiaTheme="majorEastAsia" w:hAnsiTheme="majorHAnsi" w:cstheme="majorBidi"/>
      <w:sz w:val="24"/>
      <w:szCs w:val="24"/>
      <w:shd w:val="pct20" w:color="auto" w:fill="auto"/>
    </w:rPr>
  </w:style>
  <w:style w:type="character" w:customStyle="1" w:styleId="2Char11">
    <w:name w:val="正文首行缩进 2 Char1"/>
    <w:basedOn w:val="Char7"/>
    <w:uiPriority w:val="99"/>
    <w:semiHidden/>
    <w:qFormat/>
    <w:rsid w:val="008768CC"/>
    <w:rPr>
      <w:rFonts w:ascii="宋体" w:eastAsia="宋体" w:hAnsi="宋体" w:cs="Times New Roman"/>
      <w:kern w:val="2"/>
      <w:sz w:val="32"/>
      <w:szCs w:val="20"/>
    </w:rPr>
  </w:style>
  <w:style w:type="character" w:customStyle="1" w:styleId="Char1f1">
    <w:name w:val="正文首行缩进 Char1"/>
    <w:basedOn w:val="Char16"/>
    <w:uiPriority w:val="99"/>
    <w:semiHidden/>
    <w:qFormat/>
    <w:rsid w:val="008768CC"/>
    <w:rPr>
      <w:rFonts w:ascii="Calibri" w:eastAsia="宋体" w:hAnsi="Calibri" w:cs="Times New Roman"/>
      <w:kern w:val="2"/>
      <w:sz w:val="21"/>
      <w:szCs w:val="22"/>
    </w:rPr>
  </w:style>
  <w:style w:type="table" w:customStyle="1" w:styleId="KWTable">
    <w:name w:val="K&amp;W Table"/>
    <w:basedOn w:val="aff7"/>
    <w:qFormat/>
    <w:rsid w:val="008768CC"/>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paragraph" w:customStyle="1" w:styleId="2b">
    <w:name w:val="修订2"/>
    <w:hidden/>
    <w:uiPriority w:val="99"/>
    <w:semiHidden/>
    <w:qFormat/>
    <w:rsid w:val="008768CC"/>
    <w:rPr>
      <w:rFonts w:ascii="Times New Roman" w:eastAsia="宋体" w:hAnsi="Times New Roman" w:cs="Times New Roman"/>
      <w:szCs w:val="21"/>
    </w:rPr>
  </w:style>
  <w:style w:type="table" w:customStyle="1" w:styleId="18">
    <w:name w:val="网格型1"/>
    <w:basedOn w:val="a1"/>
    <w:qFormat/>
    <w:rsid w:val="008768C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1">
    <w:name w:val="K&amp;W Table1"/>
    <w:basedOn w:val="aff7"/>
    <w:qFormat/>
    <w:rsid w:val="008768CC"/>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2c">
    <w:name w:val="网格型2"/>
    <w:basedOn w:val="a1"/>
    <w:qFormat/>
    <w:rsid w:val="008768C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2">
    <w:name w:val="K&amp;W Table2"/>
    <w:basedOn w:val="aff7"/>
    <w:qFormat/>
    <w:rsid w:val="008768CC"/>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39">
    <w:name w:val="网格型3"/>
    <w:basedOn w:val="a1"/>
    <w:uiPriority w:val="59"/>
    <w:qFormat/>
    <w:rsid w:val="008768C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修订3"/>
    <w:hidden/>
    <w:uiPriority w:val="99"/>
    <w:semiHidden/>
    <w:qFormat/>
    <w:rsid w:val="008768CC"/>
    <w:rPr>
      <w:rFonts w:ascii="Times New Roman" w:eastAsia="宋体" w:hAnsi="Times New Roman" w:cs="Times New Roman"/>
      <w:szCs w:val="21"/>
    </w:rPr>
  </w:style>
  <w:style w:type="table" w:customStyle="1" w:styleId="46">
    <w:name w:val="网格型4"/>
    <w:basedOn w:val="a1"/>
    <w:qFormat/>
    <w:rsid w:val="008768C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768CC"/>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8768CC"/>
    <w:pPr>
      <w:widowControl w:val="0"/>
      <w:spacing w:line="240" w:lineRule="auto"/>
      <w:ind w:firstLineChars="0" w:firstLine="0"/>
      <w:jc w:val="left"/>
    </w:pPr>
    <w:rPr>
      <w:rFonts w:asciiTheme="minorHAnsi" w:eastAsiaTheme="minorEastAsia" w:hAnsiTheme="minorHAnsi" w:cstheme="minorBidi"/>
      <w:kern w:val="0"/>
      <w:sz w:val="22"/>
      <w:szCs w:val="22"/>
      <w:lang w:eastAsia="en-US"/>
    </w:rPr>
  </w:style>
  <w:style w:type="table" w:customStyle="1" w:styleId="56">
    <w:name w:val="网格型5"/>
    <w:basedOn w:val="a1"/>
    <w:qFormat/>
    <w:rsid w:val="008768C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3">
    <w:name w:val="K&amp;W Table3"/>
    <w:basedOn w:val="aff7"/>
    <w:qFormat/>
    <w:rsid w:val="008768CC"/>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110">
    <w:name w:val="网格型11"/>
    <w:basedOn w:val="a1"/>
    <w:rsid w:val="008768C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11">
    <w:name w:val="K&amp;W Table11"/>
    <w:basedOn w:val="aff7"/>
    <w:rsid w:val="008768CC"/>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210">
    <w:name w:val="网格型21"/>
    <w:basedOn w:val="a1"/>
    <w:qFormat/>
    <w:rsid w:val="008768C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21">
    <w:name w:val="K&amp;W Table21"/>
    <w:basedOn w:val="aff7"/>
    <w:qFormat/>
    <w:rsid w:val="008768CC"/>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310">
    <w:name w:val="网格型31"/>
    <w:basedOn w:val="a1"/>
    <w:uiPriority w:val="59"/>
    <w:qFormat/>
    <w:rsid w:val="008768C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1"/>
    <w:qFormat/>
    <w:rsid w:val="008768C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uiPriority="99"/>
    <w:lsdException w:name="page number" w:qFormat="1"/>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uiPriority="99"/>
    <w:lsdException w:name="HTML Definition" w:uiPriority="99"/>
    <w:lsdException w:name="HTML Keyboard" w:uiPriority="99"/>
    <w:lsdException w:name="HTML Preformatted" w:uiPriority="99" w:qFormat="1"/>
    <w:lsdException w:name="HTML Sample" w:uiPriority="99"/>
    <w:lsdException w:name="HTML Typewriter" w:uiPriority="99"/>
    <w:lsdException w:name="HTML Variabl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CC"/>
    <w:pPr>
      <w:spacing w:line="590" w:lineRule="exact"/>
      <w:ind w:firstLineChars="200" w:firstLine="640"/>
      <w:jc w:val="both"/>
    </w:pPr>
    <w:rPr>
      <w:rFonts w:ascii="仿宋_GB2312" w:eastAsia="仿宋_GB2312" w:hAnsi="仿宋_GB2312" w:cs="Times New Roman"/>
      <w:sz w:val="32"/>
      <w:szCs w:val="32"/>
    </w:rPr>
  </w:style>
  <w:style w:type="paragraph" w:styleId="1">
    <w:name w:val="heading 1"/>
    <w:basedOn w:val="a"/>
    <w:next w:val="a"/>
    <w:link w:val="1Char"/>
    <w:qFormat/>
    <w:rsid w:val="008768CC"/>
    <w:pPr>
      <w:keepNext/>
      <w:keepLines/>
      <w:spacing w:before="200" w:after="200" w:line="578" w:lineRule="atLeast"/>
      <w:ind w:firstLine="200"/>
      <w:outlineLvl w:val="0"/>
    </w:pPr>
    <w:rPr>
      <w:b/>
      <w:bCs/>
      <w:kern w:val="44"/>
      <w:sz w:val="36"/>
      <w:szCs w:val="44"/>
    </w:rPr>
  </w:style>
  <w:style w:type="paragraph" w:styleId="2">
    <w:name w:val="heading 2"/>
    <w:basedOn w:val="a"/>
    <w:next w:val="a"/>
    <w:link w:val="2Char"/>
    <w:unhideWhenUsed/>
    <w:qFormat/>
    <w:rsid w:val="008768CC"/>
    <w:pPr>
      <w:keepNext/>
      <w:keepLines/>
      <w:widowControl w:val="0"/>
      <w:tabs>
        <w:tab w:val="left" w:pos="840"/>
        <w:tab w:val="left" w:pos="1080"/>
      </w:tabs>
      <w:spacing w:before="260" w:after="260" w:line="415" w:lineRule="auto"/>
      <w:ind w:left="840" w:firstLineChars="0" w:hanging="420"/>
      <w:outlineLvl w:val="1"/>
    </w:pPr>
    <w:rPr>
      <w:rFonts w:ascii="Arial" w:eastAsia="黑体" w:hAnsi="Arial"/>
      <w:b/>
      <w:bCs/>
    </w:rPr>
  </w:style>
  <w:style w:type="paragraph" w:styleId="3">
    <w:name w:val="heading 3"/>
    <w:basedOn w:val="a"/>
    <w:next w:val="a"/>
    <w:link w:val="3Char"/>
    <w:qFormat/>
    <w:rsid w:val="008768CC"/>
    <w:pPr>
      <w:keepNext/>
      <w:keepLines/>
      <w:widowControl w:val="0"/>
      <w:spacing w:before="260" w:after="260" w:line="416" w:lineRule="auto"/>
      <w:ind w:firstLineChars="0" w:firstLine="0"/>
      <w:outlineLvl w:val="2"/>
    </w:pPr>
    <w:rPr>
      <w:rFonts w:ascii="宋体" w:eastAsia="宋体" w:hAnsi="宋体"/>
      <w:b/>
      <w:bCs/>
    </w:rPr>
  </w:style>
  <w:style w:type="paragraph" w:styleId="4">
    <w:name w:val="heading 4"/>
    <w:basedOn w:val="a"/>
    <w:next w:val="a"/>
    <w:link w:val="4Char"/>
    <w:unhideWhenUsed/>
    <w:qFormat/>
    <w:rsid w:val="008768CC"/>
    <w:pPr>
      <w:keepNext/>
      <w:keepLines/>
      <w:widowControl w:val="0"/>
      <w:tabs>
        <w:tab w:val="left" w:pos="864"/>
        <w:tab w:val="left" w:pos="1680"/>
      </w:tabs>
      <w:spacing w:before="280" w:after="290" w:line="374" w:lineRule="auto"/>
      <w:ind w:left="1680" w:firstLineChars="0" w:hanging="420"/>
      <w:outlineLvl w:val="3"/>
    </w:pPr>
    <w:rPr>
      <w:rFonts w:ascii="Arial" w:eastAsia="黑体" w:hAnsi="Arial"/>
      <w:b/>
      <w:bCs/>
      <w:sz w:val="28"/>
      <w:szCs w:val="28"/>
    </w:rPr>
  </w:style>
  <w:style w:type="paragraph" w:styleId="5">
    <w:name w:val="heading 5"/>
    <w:basedOn w:val="a"/>
    <w:next w:val="a"/>
    <w:link w:val="5Char"/>
    <w:unhideWhenUsed/>
    <w:qFormat/>
    <w:rsid w:val="008768CC"/>
    <w:pPr>
      <w:keepNext/>
      <w:keepLines/>
      <w:widowControl w:val="0"/>
      <w:tabs>
        <w:tab w:val="left" w:pos="1008"/>
        <w:tab w:val="left" w:pos="2100"/>
      </w:tabs>
      <w:spacing w:before="280" w:after="290" w:line="374" w:lineRule="auto"/>
      <w:ind w:left="2100" w:firstLineChars="0" w:hanging="420"/>
      <w:outlineLvl w:val="4"/>
    </w:pPr>
    <w:rPr>
      <w:rFonts w:ascii="Times New Roman" w:eastAsia="宋体" w:hAnsi="Times New Roman"/>
      <w:b/>
      <w:bCs/>
      <w:sz w:val="28"/>
      <w:szCs w:val="28"/>
    </w:rPr>
  </w:style>
  <w:style w:type="paragraph" w:styleId="6">
    <w:name w:val="heading 6"/>
    <w:basedOn w:val="a"/>
    <w:next w:val="a"/>
    <w:link w:val="6Char"/>
    <w:unhideWhenUsed/>
    <w:qFormat/>
    <w:rsid w:val="008768CC"/>
    <w:pPr>
      <w:keepNext/>
      <w:keepLines/>
      <w:widowControl w:val="0"/>
      <w:tabs>
        <w:tab w:val="left" w:pos="1152"/>
        <w:tab w:val="left" w:pos="2520"/>
      </w:tabs>
      <w:spacing w:before="240" w:after="64" w:line="319" w:lineRule="auto"/>
      <w:ind w:left="2520" w:firstLineChars="0" w:hanging="420"/>
      <w:outlineLvl w:val="5"/>
    </w:pPr>
    <w:rPr>
      <w:rFonts w:ascii="Arial" w:eastAsia="黑体" w:hAnsi="Arial"/>
      <w:b/>
      <w:bCs/>
      <w:sz w:val="24"/>
      <w:szCs w:val="24"/>
    </w:rPr>
  </w:style>
  <w:style w:type="paragraph" w:styleId="7">
    <w:name w:val="heading 7"/>
    <w:basedOn w:val="a"/>
    <w:next w:val="a"/>
    <w:link w:val="7Char"/>
    <w:unhideWhenUsed/>
    <w:qFormat/>
    <w:rsid w:val="008768CC"/>
    <w:pPr>
      <w:keepNext/>
      <w:keepLines/>
      <w:widowControl w:val="0"/>
      <w:tabs>
        <w:tab w:val="left" w:pos="1296"/>
        <w:tab w:val="left" w:pos="2940"/>
      </w:tabs>
      <w:spacing w:before="240" w:after="64" w:line="319" w:lineRule="auto"/>
      <w:ind w:left="2940" w:firstLineChars="0" w:hanging="420"/>
      <w:outlineLvl w:val="6"/>
    </w:pPr>
    <w:rPr>
      <w:rFonts w:ascii="Times New Roman" w:eastAsia="宋体" w:hAnsi="Times New Roman"/>
      <w:b/>
      <w:bCs/>
      <w:sz w:val="24"/>
      <w:szCs w:val="24"/>
    </w:rPr>
  </w:style>
  <w:style w:type="paragraph" w:styleId="8">
    <w:name w:val="heading 8"/>
    <w:basedOn w:val="a"/>
    <w:next w:val="a"/>
    <w:link w:val="8Char"/>
    <w:unhideWhenUsed/>
    <w:qFormat/>
    <w:rsid w:val="008768CC"/>
    <w:pPr>
      <w:keepNext/>
      <w:keepLines/>
      <w:widowControl w:val="0"/>
      <w:tabs>
        <w:tab w:val="left" w:pos="1440"/>
        <w:tab w:val="left" w:pos="3360"/>
      </w:tabs>
      <w:spacing w:before="240" w:after="64" w:line="319" w:lineRule="auto"/>
      <w:ind w:left="3360" w:firstLineChars="0" w:hanging="420"/>
      <w:outlineLvl w:val="7"/>
    </w:pPr>
    <w:rPr>
      <w:rFonts w:ascii="Arial" w:eastAsia="黑体" w:hAnsi="Arial"/>
      <w:sz w:val="24"/>
      <w:szCs w:val="24"/>
    </w:rPr>
  </w:style>
  <w:style w:type="paragraph" w:styleId="9">
    <w:name w:val="heading 9"/>
    <w:basedOn w:val="a"/>
    <w:next w:val="a"/>
    <w:link w:val="9Char"/>
    <w:unhideWhenUsed/>
    <w:qFormat/>
    <w:rsid w:val="008768CC"/>
    <w:pPr>
      <w:keepNext/>
      <w:keepLines/>
      <w:widowControl w:val="0"/>
      <w:tabs>
        <w:tab w:val="left" w:pos="1584"/>
        <w:tab w:val="left" w:pos="3780"/>
      </w:tabs>
      <w:spacing w:before="240" w:after="64" w:line="319" w:lineRule="auto"/>
      <w:ind w:left="3780" w:firstLineChars="0" w:hanging="420"/>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768CC"/>
    <w:rPr>
      <w:rFonts w:ascii="仿宋_GB2312" w:eastAsia="仿宋_GB2312" w:hAnsi="仿宋_GB2312" w:cs="Times New Roman"/>
      <w:b/>
      <w:bCs/>
      <w:kern w:val="44"/>
      <w:sz w:val="36"/>
      <w:szCs w:val="44"/>
    </w:rPr>
  </w:style>
  <w:style w:type="character" w:customStyle="1" w:styleId="2Char">
    <w:name w:val="标题 2 Char"/>
    <w:basedOn w:val="a0"/>
    <w:link w:val="2"/>
    <w:qFormat/>
    <w:rsid w:val="008768CC"/>
    <w:rPr>
      <w:rFonts w:ascii="Arial" w:eastAsia="黑体" w:hAnsi="Arial" w:cs="Times New Roman"/>
      <w:b/>
      <w:bCs/>
      <w:sz w:val="32"/>
      <w:szCs w:val="32"/>
    </w:rPr>
  </w:style>
  <w:style w:type="character" w:customStyle="1" w:styleId="3Char">
    <w:name w:val="标题 3 Char"/>
    <w:basedOn w:val="a0"/>
    <w:link w:val="3"/>
    <w:qFormat/>
    <w:rsid w:val="008768CC"/>
    <w:rPr>
      <w:rFonts w:ascii="宋体" w:eastAsia="宋体" w:hAnsi="宋体" w:cs="Times New Roman"/>
      <w:b/>
      <w:bCs/>
      <w:sz w:val="32"/>
      <w:szCs w:val="32"/>
    </w:rPr>
  </w:style>
  <w:style w:type="character" w:customStyle="1" w:styleId="4Char">
    <w:name w:val="标题 4 Char"/>
    <w:basedOn w:val="a0"/>
    <w:link w:val="4"/>
    <w:qFormat/>
    <w:rsid w:val="008768CC"/>
    <w:rPr>
      <w:rFonts w:ascii="Arial" w:eastAsia="黑体" w:hAnsi="Arial" w:cs="Times New Roman"/>
      <w:b/>
      <w:bCs/>
      <w:sz w:val="28"/>
      <w:szCs w:val="28"/>
    </w:rPr>
  </w:style>
  <w:style w:type="character" w:customStyle="1" w:styleId="5Char">
    <w:name w:val="标题 5 Char"/>
    <w:basedOn w:val="a0"/>
    <w:link w:val="5"/>
    <w:qFormat/>
    <w:rsid w:val="008768CC"/>
    <w:rPr>
      <w:rFonts w:ascii="Times New Roman" w:eastAsia="宋体" w:hAnsi="Times New Roman" w:cs="Times New Roman"/>
      <w:b/>
      <w:bCs/>
      <w:sz w:val="28"/>
      <w:szCs w:val="28"/>
    </w:rPr>
  </w:style>
  <w:style w:type="character" w:customStyle="1" w:styleId="6Char">
    <w:name w:val="标题 6 Char"/>
    <w:basedOn w:val="a0"/>
    <w:link w:val="6"/>
    <w:qFormat/>
    <w:rsid w:val="008768CC"/>
    <w:rPr>
      <w:rFonts w:ascii="Arial" w:eastAsia="黑体" w:hAnsi="Arial" w:cs="Times New Roman"/>
      <w:b/>
      <w:bCs/>
      <w:sz w:val="24"/>
      <w:szCs w:val="24"/>
    </w:rPr>
  </w:style>
  <w:style w:type="character" w:customStyle="1" w:styleId="7Char">
    <w:name w:val="标题 7 Char"/>
    <w:basedOn w:val="a0"/>
    <w:link w:val="7"/>
    <w:qFormat/>
    <w:rsid w:val="008768CC"/>
    <w:rPr>
      <w:rFonts w:ascii="Times New Roman" w:eastAsia="宋体" w:hAnsi="Times New Roman" w:cs="Times New Roman"/>
      <w:b/>
      <w:bCs/>
      <w:sz w:val="24"/>
      <w:szCs w:val="24"/>
    </w:rPr>
  </w:style>
  <w:style w:type="character" w:customStyle="1" w:styleId="8Char">
    <w:name w:val="标题 8 Char"/>
    <w:basedOn w:val="a0"/>
    <w:link w:val="8"/>
    <w:qFormat/>
    <w:rsid w:val="008768CC"/>
    <w:rPr>
      <w:rFonts w:ascii="Arial" w:eastAsia="黑体" w:hAnsi="Arial" w:cs="Times New Roman"/>
      <w:sz w:val="24"/>
      <w:szCs w:val="24"/>
    </w:rPr>
  </w:style>
  <w:style w:type="character" w:customStyle="1" w:styleId="9Char">
    <w:name w:val="标题 9 Char"/>
    <w:basedOn w:val="a0"/>
    <w:link w:val="9"/>
    <w:qFormat/>
    <w:rsid w:val="008768CC"/>
    <w:rPr>
      <w:rFonts w:ascii="Arial" w:eastAsia="黑体" w:hAnsi="Arial" w:cs="Times New Roman"/>
      <w:szCs w:val="21"/>
    </w:rPr>
  </w:style>
  <w:style w:type="paragraph" w:styleId="a3">
    <w:name w:val="macro"/>
    <w:link w:val="Char"/>
    <w:unhideWhenUsed/>
    <w:qFormat/>
    <w:rsid w:val="008768C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0"/>
      <w:sz w:val="24"/>
      <w:szCs w:val="24"/>
    </w:rPr>
  </w:style>
  <w:style w:type="character" w:customStyle="1" w:styleId="Char">
    <w:name w:val="宏文本 Char"/>
    <w:basedOn w:val="a0"/>
    <w:link w:val="a3"/>
    <w:qFormat/>
    <w:rsid w:val="008768CC"/>
    <w:rPr>
      <w:rFonts w:ascii="Courier New" w:eastAsia="宋体" w:hAnsi="Courier New" w:cs="Courier New"/>
      <w:kern w:val="0"/>
      <w:sz w:val="24"/>
      <w:szCs w:val="24"/>
    </w:rPr>
  </w:style>
  <w:style w:type="paragraph" w:styleId="30">
    <w:name w:val="List 3"/>
    <w:basedOn w:val="a"/>
    <w:unhideWhenUsed/>
    <w:qFormat/>
    <w:rsid w:val="008768CC"/>
    <w:pPr>
      <w:widowControl w:val="0"/>
      <w:spacing w:line="240" w:lineRule="auto"/>
      <w:ind w:leftChars="400" w:left="100" w:hangingChars="200" w:hanging="200"/>
    </w:pPr>
    <w:rPr>
      <w:rFonts w:ascii="Times New Roman" w:eastAsia="宋体" w:hAnsi="Times New Roman"/>
      <w:sz w:val="21"/>
      <w:szCs w:val="24"/>
    </w:rPr>
  </w:style>
  <w:style w:type="paragraph" w:styleId="70">
    <w:name w:val="toc 7"/>
    <w:basedOn w:val="a"/>
    <w:next w:val="a"/>
    <w:unhideWhenUsed/>
    <w:qFormat/>
    <w:rsid w:val="008768CC"/>
    <w:pPr>
      <w:widowControl w:val="0"/>
      <w:spacing w:line="240" w:lineRule="auto"/>
      <w:ind w:left="1260" w:firstLineChars="0" w:firstLine="0"/>
      <w:jc w:val="left"/>
    </w:pPr>
    <w:rPr>
      <w:rFonts w:ascii="Calibri" w:eastAsia="宋体" w:hAnsi="Calibri"/>
      <w:sz w:val="18"/>
      <w:szCs w:val="18"/>
    </w:rPr>
  </w:style>
  <w:style w:type="paragraph" w:styleId="20">
    <w:name w:val="List Number 2"/>
    <w:basedOn w:val="a"/>
    <w:unhideWhenUsed/>
    <w:qFormat/>
    <w:rsid w:val="008768CC"/>
    <w:pPr>
      <w:widowControl w:val="0"/>
      <w:tabs>
        <w:tab w:val="left" w:pos="780"/>
        <w:tab w:val="left" w:pos="851"/>
      </w:tabs>
      <w:spacing w:line="240" w:lineRule="auto"/>
      <w:ind w:left="425" w:firstLineChars="0" w:hanging="425"/>
    </w:pPr>
    <w:rPr>
      <w:rFonts w:ascii="Times New Roman" w:eastAsia="宋体" w:hAnsi="Times New Roman"/>
      <w:sz w:val="21"/>
      <w:szCs w:val="24"/>
    </w:rPr>
  </w:style>
  <w:style w:type="paragraph" w:styleId="a4">
    <w:name w:val="table of authorities"/>
    <w:basedOn w:val="a"/>
    <w:next w:val="a"/>
    <w:unhideWhenUsed/>
    <w:qFormat/>
    <w:rsid w:val="008768CC"/>
    <w:pPr>
      <w:widowControl w:val="0"/>
      <w:spacing w:line="240" w:lineRule="auto"/>
      <w:ind w:leftChars="200" w:left="420" w:firstLineChars="0" w:firstLine="0"/>
    </w:pPr>
    <w:rPr>
      <w:rFonts w:ascii="Times New Roman" w:eastAsia="宋体" w:hAnsi="Times New Roman"/>
      <w:sz w:val="21"/>
      <w:szCs w:val="24"/>
    </w:rPr>
  </w:style>
  <w:style w:type="paragraph" w:styleId="a5">
    <w:name w:val="Note Heading"/>
    <w:basedOn w:val="a"/>
    <w:next w:val="a"/>
    <w:link w:val="Char0"/>
    <w:unhideWhenUsed/>
    <w:qFormat/>
    <w:rsid w:val="008768CC"/>
    <w:pPr>
      <w:widowControl w:val="0"/>
      <w:spacing w:line="240" w:lineRule="auto"/>
      <w:ind w:firstLineChars="0" w:firstLine="0"/>
      <w:jc w:val="center"/>
    </w:pPr>
    <w:rPr>
      <w:rFonts w:ascii="Times New Roman" w:eastAsia="宋体" w:hAnsi="Times New Roman"/>
      <w:kern w:val="0"/>
      <w:sz w:val="20"/>
      <w:szCs w:val="24"/>
    </w:rPr>
  </w:style>
  <w:style w:type="character" w:customStyle="1" w:styleId="Char0">
    <w:name w:val="注释标题 Char"/>
    <w:basedOn w:val="a0"/>
    <w:link w:val="a5"/>
    <w:qFormat/>
    <w:rsid w:val="008768CC"/>
    <w:rPr>
      <w:rFonts w:ascii="Times New Roman" w:eastAsia="宋体" w:hAnsi="Times New Roman" w:cs="Times New Roman"/>
      <w:kern w:val="0"/>
      <w:sz w:val="20"/>
      <w:szCs w:val="24"/>
    </w:rPr>
  </w:style>
  <w:style w:type="paragraph" w:styleId="40">
    <w:name w:val="List Bullet 4"/>
    <w:basedOn w:val="a"/>
    <w:unhideWhenUsed/>
    <w:qFormat/>
    <w:rsid w:val="008768CC"/>
    <w:pPr>
      <w:widowControl w:val="0"/>
      <w:tabs>
        <w:tab w:val="left" w:pos="1080"/>
        <w:tab w:val="left" w:pos="1620"/>
      </w:tabs>
      <w:spacing w:line="240" w:lineRule="auto"/>
      <w:ind w:left="1080" w:firstLineChars="0" w:hanging="1080"/>
    </w:pPr>
    <w:rPr>
      <w:rFonts w:ascii="Times New Roman" w:eastAsia="宋体" w:hAnsi="Times New Roman"/>
      <w:sz w:val="21"/>
      <w:szCs w:val="24"/>
    </w:rPr>
  </w:style>
  <w:style w:type="paragraph" w:styleId="80">
    <w:name w:val="index 8"/>
    <w:basedOn w:val="a"/>
    <w:next w:val="a"/>
    <w:unhideWhenUsed/>
    <w:qFormat/>
    <w:rsid w:val="008768CC"/>
    <w:pPr>
      <w:widowControl w:val="0"/>
      <w:spacing w:line="240" w:lineRule="auto"/>
      <w:ind w:leftChars="1400" w:left="1400" w:firstLineChars="0" w:firstLine="0"/>
    </w:pPr>
    <w:rPr>
      <w:rFonts w:ascii="Times New Roman" w:eastAsia="宋体" w:hAnsi="Times New Roman"/>
      <w:sz w:val="21"/>
      <w:szCs w:val="24"/>
    </w:rPr>
  </w:style>
  <w:style w:type="paragraph" w:styleId="a6">
    <w:name w:val="E-mail Signature"/>
    <w:basedOn w:val="a"/>
    <w:link w:val="Char1"/>
    <w:unhideWhenUsed/>
    <w:qFormat/>
    <w:rsid w:val="008768CC"/>
    <w:pPr>
      <w:widowControl w:val="0"/>
      <w:spacing w:line="240" w:lineRule="auto"/>
      <w:ind w:firstLineChars="0" w:firstLine="0"/>
    </w:pPr>
    <w:rPr>
      <w:rFonts w:ascii="Times New Roman" w:eastAsia="宋体" w:hAnsi="Times New Roman"/>
      <w:kern w:val="0"/>
      <w:sz w:val="20"/>
      <w:szCs w:val="24"/>
    </w:rPr>
  </w:style>
  <w:style w:type="character" w:customStyle="1" w:styleId="Char1">
    <w:name w:val="电子邮件签名 Char"/>
    <w:basedOn w:val="a0"/>
    <w:link w:val="a6"/>
    <w:qFormat/>
    <w:rsid w:val="008768CC"/>
    <w:rPr>
      <w:rFonts w:ascii="Times New Roman" w:eastAsia="宋体" w:hAnsi="Times New Roman" w:cs="Times New Roman"/>
      <w:kern w:val="0"/>
      <w:sz w:val="20"/>
      <w:szCs w:val="24"/>
    </w:rPr>
  </w:style>
  <w:style w:type="paragraph" w:styleId="a7">
    <w:name w:val="List Number"/>
    <w:basedOn w:val="a"/>
    <w:unhideWhenUsed/>
    <w:qFormat/>
    <w:rsid w:val="008768CC"/>
    <w:pPr>
      <w:widowControl w:val="0"/>
      <w:tabs>
        <w:tab w:val="left" w:pos="360"/>
        <w:tab w:val="left" w:pos="1080"/>
      </w:tabs>
      <w:spacing w:line="240" w:lineRule="auto"/>
      <w:ind w:left="1080" w:firstLineChars="0" w:hanging="1080"/>
    </w:pPr>
    <w:rPr>
      <w:rFonts w:ascii="Times New Roman" w:eastAsia="宋体" w:hAnsi="Times New Roman"/>
      <w:sz w:val="21"/>
      <w:szCs w:val="24"/>
    </w:rPr>
  </w:style>
  <w:style w:type="paragraph" w:styleId="a8">
    <w:name w:val="Normal Indent"/>
    <w:basedOn w:val="a"/>
    <w:unhideWhenUsed/>
    <w:qFormat/>
    <w:rsid w:val="008768CC"/>
    <w:pPr>
      <w:widowControl w:val="0"/>
      <w:spacing w:line="240" w:lineRule="auto"/>
      <w:ind w:firstLine="420"/>
    </w:pPr>
    <w:rPr>
      <w:rFonts w:ascii="Times New Roman" w:eastAsia="宋体" w:hAnsi="Times New Roman"/>
      <w:sz w:val="21"/>
      <w:szCs w:val="24"/>
    </w:rPr>
  </w:style>
  <w:style w:type="paragraph" w:styleId="a9">
    <w:name w:val="caption"/>
    <w:basedOn w:val="a"/>
    <w:next w:val="a"/>
    <w:qFormat/>
    <w:rsid w:val="008768CC"/>
    <w:pPr>
      <w:widowControl w:val="0"/>
      <w:spacing w:line="240" w:lineRule="auto"/>
      <w:ind w:firstLineChars="0" w:firstLine="0"/>
    </w:pPr>
    <w:rPr>
      <w:rFonts w:ascii="Arial" w:eastAsia="黑体" w:hAnsi="Arial" w:cs="Arial"/>
      <w:sz w:val="20"/>
      <w:szCs w:val="20"/>
    </w:rPr>
  </w:style>
  <w:style w:type="paragraph" w:styleId="50">
    <w:name w:val="index 5"/>
    <w:basedOn w:val="a"/>
    <w:next w:val="a"/>
    <w:unhideWhenUsed/>
    <w:qFormat/>
    <w:rsid w:val="008768CC"/>
    <w:pPr>
      <w:widowControl w:val="0"/>
      <w:spacing w:line="240" w:lineRule="auto"/>
      <w:ind w:leftChars="800" w:left="800" w:firstLineChars="0" w:firstLine="0"/>
    </w:pPr>
    <w:rPr>
      <w:rFonts w:ascii="Times New Roman" w:eastAsia="宋体" w:hAnsi="Times New Roman"/>
      <w:sz w:val="21"/>
      <w:szCs w:val="24"/>
    </w:rPr>
  </w:style>
  <w:style w:type="paragraph" w:styleId="aa">
    <w:name w:val="List Bullet"/>
    <w:basedOn w:val="a"/>
    <w:unhideWhenUsed/>
    <w:qFormat/>
    <w:rsid w:val="008768CC"/>
    <w:pPr>
      <w:widowControl w:val="0"/>
      <w:tabs>
        <w:tab w:val="left" w:pos="360"/>
        <w:tab w:val="left" w:pos="1080"/>
      </w:tabs>
      <w:spacing w:line="240" w:lineRule="auto"/>
      <w:ind w:left="1080" w:firstLineChars="0" w:hanging="1080"/>
    </w:pPr>
    <w:rPr>
      <w:rFonts w:ascii="Times New Roman" w:eastAsia="宋体" w:hAnsi="Times New Roman"/>
      <w:sz w:val="21"/>
      <w:szCs w:val="24"/>
    </w:rPr>
  </w:style>
  <w:style w:type="paragraph" w:styleId="ab">
    <w:name w:val="envelope address"/>
    <w:basedOn w:val="a"/>
    <w:unhideWhenUsed/>
    <w:qFormat/>
    <w:rsid w:val="008768CC"/>
    <w:pPr>
      <w:framePr w:w="7920" w:h="1980" w:hSpace="180" w:wrap="around" w:hAnchor="page" w:xAlign="center" w:yAlign="bottom"/>
      <w:widowControl w:val="0"/>
      <w:snapToGrid w:val="0"/>
      <w:spacing w:line="240" w:lineRule="auto"/>
      <w:ind w:leftChars="1400" w:left="100" w:firstLineChars="0" w:firstLine="0"/>
    </w:pPr>
    <w:rPr>
      <w:rFonts w:ascii="Arial" w:eastAsia="宋体" w:hAnsi="Arial" w:cs="Arial"/>
      <w:sz w:val="24"/>
      <w:szCs w:val="24"/>
    </w:rPr>
  </w:style>
  <w:style w:type="paragraph" w:styleId="ac">
    <w:name w:val="Document Map"/>
    <w:basedOn w:val="a"/>
    <w:link w:val="Char2"/>
    <w:unhideWhenUsed/>
    <w:qFormat/>
    <w:rsid w:val="008768CC"/>
    <w:pPr>
      <w:widowControl w:val="0"/>
      <w:shd w:val="clear" w:color="auto" w:fill="000080"/>
      <w:spacing w:line="240" w:lineRule="auto"/>
      <w:ind w:firstLineChars="0" w:firstLine="0"/>
    </w:pPr>
    <w:rPr>
      <w:rFonts w:ascii="Calibri" w:eastAsia="宋体" w:hAnsi="Calibri"/>
      <w:kern w:val="0"/>
      <w:sz w:val="20"/>
      <w:szCs w:val="21"/>
    </w:rPr>
  </w:style>
  <w:style w:type="character" w:customStyle="1" w:styleId="Char2">
    <w:name w:val="文档结构图 Char"/>
    <w:basedOn w:val="a0"/>
    <w:link w:val="ac"/>
    <w:qFormat/>
    <w:rsid w:val="008768CC"/>
    <w:rPr>
      <w:rFonts w:ascii="Calibri" w:eastAsia="宋体" w:hAnsi="Calibri" w:cs="Times New Roman"/>
      <w:kern w:val="0"/>
      <w:sz w:val="20"/>
      <w:szCs w:val="21"/>
      <w:shd w:val="clear" w:color="auto" w:fill="000080"/>
    </w:rPr>
  </w:style>
  <w:style w:type="paragraph" w:styleId="ad">
    <w:name w:val="toa heading"/>
    <w:basedOn w:val="a"/>
    <w:next w:val="a"/>
    <w:unhideWhenUsed/>
    <w:qFormat/>
    <w:rsid w:val="008768CC"/>
    <w:pPr>
      <w:widowControl w:val="0"/>
      <w:spacing w:before="120" w:line="240" w:lineRule="auto"/>
      <w:ind w:firstLineChars="0" w:firstLine="0"/>
    </w:pPr>
    <w:rPr>
      <w:rFonts w:ascii="Arial" w:eastAsia="宋体" w:hAnsi="Arial" w:cs="Arial"/>
      <w:sz w:val="24"/>
      <w:szCs w:val="24"/>
    </w:rPr>
  </w:style>
  <w:style w:type="paragraph" w:styleId="ae">
    <w:name w:val="annotation text"/>
    <w:basedOn w:val="a"/>
    <w:link w:val="Char10"/>
    <w:unhideWhenUsed/>
    <w:qFormat/>
    <w:rsid w:val="008768CC"/>
    <w:pPr>
      <w:widowControl w:val="0"/>
      <w:spacing w:line="240" w:lineRule="auto"/>
      <w:ind w:firstLineChars="0" w:firstLine="0"/>
      <w:jc w:val="left"/>
    </w:pPr>
    <w:rPr>
      <w:rFonts w:ascii="Times New Roman" w:eastAsia="宋体" w:hAnsi="Times New Roman"/>
      <w:sz w:val="21"/>
      <w:szCs w:val="24"/>
    </w:rPr>
  </w:style>
  <w:style w:type="character" w:customStyle="1" w:styleId="Char3">
    <w:name w:val="批注文字 Char"/>
    <w:basedOn w:val="a0"/>
    <w:qFormat/>
    <w:rsid w:val="008768CC"/>
    <w:rPr>
      <w:rFonts w:ascii="仿宋_GB2312" w:eastAsia="仿宋_GB2312" w:hAnsi="仿宋_GB2312" w:cs="Times New Roman"/>
      <w:sz w:val="32"/>
      <w:szCs w:val="32"/>
    </w:rPr>
  </w:style>
  <w:style w:type="paragraph" w:styleId="60">
    <w:name w:val="index 6"/>
    <w:basedOn w:val="a"/>
    <w:next w:val="a"/>
    <w:unhideWhenUsed/>
    <w:qFormat/>
    <w:rsid w:val="008768CC"/>
    <w:pPr>
      <w:widowControl w:val="0"/>
      <w:spacing w:line="240" w:lineRule="auto"/>
      <w:ind w:leftChars="1000" w:left="1000" w:firstLineChars="0" w:firstLine="0"/>
    </w:pPr>
    <w:rPr>
      <w:rFonts w:ascii="Times New Roman" w:eastAsia="宋体" w:hAnsi="Times New Roman"/>
      <w:sz w:val="21"/>
      <w:szCs w:val="24"/>
    </w:rPr>
  </w:style>
  <w:style w:type="paragraph" w:styleId="af">
    <w:name w:val="Salutation"/>
    <w:basedOn w:val="a"/>
    <w:next w:val="a"/>
    <w:link w:val="Char4"/>
    <w:unhideWhenUsed/>
    <w:qFormat/>
    <w:rsid w:val="008768CC"/>
    <w:pPr>
      <w:widowControl w:val="0"/>
      <w:spacing w:line="240" w:lineRule="auto"/>
      <w:ind w:firstLineChars="0" w:firstLine="0"/>
    </w:pPr>
    <w:rPr>
      <w:rFonts w:ascii="Times New Roman" w:eastAsia="宋体" w:hAnsi="Times New Roman"/>
      <w:kern w:val="0"/>
      <w:sz w:val="20"/>
      <w:szCs w:val="24"/>
    </w:rPr>
  </w:style>
  <w:style w:type="character" w:customStyle="1" w:styleId="Char4">
    <w:name w:val="称呼 Char"/>
    <w:basedOn w:val="a0"/>
    <w:link w:val="af"/>
    <w:qFormat/>
    <w:rsid w:val="008768CC"/>
    <w:rPr>
      <w:rFonts w:ascii="Times New Roman" w:eastAsia="宋体" w:hAnsi="Times New Roman" w:cs="Times New Roman"/>
      <w:kern w:val="0"/>
      <w:sz w:val="20"/>
      <w:szCs w:val="24"/>
    </w:rPr>
  </w:style>
  <w:style w:type="paragraph" w:styleId="31">
    <w:name w:val="Body Text 3"/>
    <w:basedOn w:val="a"/>
    <w:link w:val="3Char0"/>
    <w:unhideWhenUsed/>
    <w:qFormat/>
    <w:rsid w:val="008768CC"/>
    <w:pPr>
      <w:widowControl w:val="0"/>
      <w:spacing w:after="120" w:line="240" w:lineRule="auto"/>
      <w:ind w:firstLineChars="0" w:firstLine="0"/>
    </w:pPr>
    <w:rPr>
      <w:rFonts w:ascii="Times New Roman" w:eastAsia="宋体" w:hAnsi="Times New Roman"/>
      <w:kern w:val="0"/>
      <w:sz w:val="16"/>
      <w:szCs w:val="16"/>
    </w:rPr>
  </w:style>
  <w:style w:type="character" w:customStyle="1" w:styleId="3Char0">
    <w:name w:val="正文文本 3 Char"/>
    <w:basedOn w:val="a0"/>
    <w:link w:val="31"/>
    <w:qFormat/>
    <w:rsid w:val="008768CC"/>
    <w:rPr>
      <w:rFonts w:ascii="Times New Roman" w:eastAsia="宋体" w:hAnsi="Times New Roman" w:cs="Times New Roman"/>
      <w:kern w:val="0"/>
      <w:sz w:val="16"/>
      <w:szCs w:val="16"/>
    </w:rPr>
  </w:style>
  <w:style w:type="paragraph" w:styleId="af0">
    <w:name w:val="Closing"/>
    <w:basedOn w:val="a"/>
    <w:link w:val="Char5"/>
    <w:unhideWhenUsed/>
    <w:qFormat/>
    <w:rsid w:val="008768CC"/>
    <w:pPr>
      <w:widowControl w:val="0"/>
      <w:spacing w:line="240" w:lineRule="auto"/>
      <w:ind w:leftChars="2100" w:left="100" w:firstLineChars="0" w:firstLine="0"/>
    </w:pPr>
    <w:rPr>
      <w:rFonts w:ascii="Times New Roman" w:eastAsia="宋体" w:hAnsi="Times New Roman"/>
      <w:kern w:val="0"/>
      <w:sz w:val="20"/>
      <w:szCs w:val="24"/>
    </w:rPr>
  </w:style>
  <w:style w:type="character" w:customStyle="1" w:styleId="Char5">
    <w:name w:val="结束语 Char"/>
    <w:basedOn w:val="a0"/>
    <w:link w:val="af0"/>
    <w:qFormat/>
    <w:rsid w:val="008768CC"/>
    <w:rPr>
      <w:rFonts w:ascii="Times New Roman" w:eastAsia="宋体" w:hAnsi="Times New Roman" w:cs="Times New Roman"/>
      <w:kern w:val="0"/>
      <w:sz w:val="20"/>
      <w:szCs w:val="24"/>
    </w:rPr>
  </w:style>
  <w:style w:type="paragraph" w:styleId="32">
    <w:name w:val="List Bullet 3"/>
    <w:basedOn w:val="a"/>
    <w:unhideWhenUsed/>
    <w:qFormat/>
    <w:rsid w:val="008768CC"/>
    <w:pPr>
      <w:widowControl w:val="0"/>
      <w:tabs>
        <w:tab w:val="left" w:pos="1110"/>
        <w:tab w:val="left" w:pos="1200"/>
      </w:tabs>
      <w:spacing w:line="240" w:lineRule="auto"/>
      <w:ind w:left="1110" w:firstLineChars="0" w:hanging="750"/>
    </w:pPr>
    <w:rPr>
      <w:rFonts w:ascii="Times New Roman" w:eastAsia="宋体" w:hAnsi="Times New Roman"/>
      <w:sz w:val="21"/>
      <w:szCs w:val="24"/>
    </w:rPr>
  </w:style>
  <w:style w:type="paragraph" w:styleId="af1">
    <w:name w:val="Body Text"/>
    <w:basedOn w:val="a"/>
    <w:link w:val="Char6"/>
    <w:unhideWhenUsed/>
    <w:qFormat/>
    <w:rsid w:val="008768CC"/>
    <w:pPr>
      <w:spacing w:after="120"/>
    </w:pPr>
  </w:style>
  <w:style w:type="character" w:customStyle="1" w:styleId="Char6">
    <w:name w:val="正文文本 Char"/>
    <w:basedOn w:val="a0"/>
    <w:link w:val="af1"/>
    <w:qFormat/>
    <w:rsid w:val="008768CC"/>
    <w:rPr>
      <w:rFonts w:ascii="仿宋_GB2312" w:eastAsia="仿宋_GB2312" w:hAnsi="仿宋_GB2312" w:cs="Times New Roman"/>
      <w:sz w:val="32"/>
      <w:szCs w:val="32"/>
    </w:rPr>
  </w:style>
  <w:style w:type="paragraph" w:styleId="af2">
    <w:name w:val="Body Text Indent"/>
    <w:basedOn w:val="a"/>
    <w:link w:val="Char11"/>
    <w:qFormat/>
    <w:rsid w:val="008768CC"/>
    <w:pPr>
      <w:widowControl w:val="0"/>
      <w:snapToGrid w:val="0"/>
      <w:spacing w:line="240" w:lineRule="auto"/>
      <w:ind w:left="1260" w:firstLineChars="0" w:hanging="1260"/>
    </w:pPr>
    <w:rPr>
      <w:rFonts w:ascii="楷体_GB2312" w:eastAsia="楷体_GB2312" w:hAnsi="宋体"/>
      <w:sz w:val="24"/>
      <w:szCs w:val="20"/>
    </w:rPr>
  </w:style>
  <w:style w:type="character" w:customStyle="1" w:styleId="Char7">
    <w:name w:val="正文文本缩进 Char"/>
    <w:basedOn w:val="a0"/>
    <w:qFormat/>
    <w:rsid w:val="008768CC"/>
    <w:rPr>
      <w:rFonts w:ascii="仿宋_GB2312" w:eastAsia="仿宋_GB2312" w:hAnsi="仿宋_GB2312" w:cs="Times New Roman"/>
      <w:sz w:val="32"/>
      <w:szCs w:val="32"/>
    </w:rPr>
  </w:style>
  <w:style w:type="paragraph" w:styleId="33">
    <w:name w:val="List Number 3"/>
    <w:basedOn w:val="a"/>
    <w:unhideWhenUsed/>
    <w:qFormat/>
    <w:rsid w:val="008768CC"/>
    <w:pPr>
      <w:widowControl w:val="0"/>
      <w:tabs>
        <w:tab w:val="left" w:pos="1080"/>
        <w:tab w:val="left" w:pos="1200"/>
      </w:tabs>
      <w:spacing w:line="240" w:lineRule="auto"/>
      <w:ind w:left="1080" w:firstLineChars="0" w:hanging="1080"/>
    </w:pPr>
    <w:rPr>
      <w:rFonts w:ascii="Times New Roman" w:eastAsia="宋体" w:hAnsi="Times New Roman"/>
      <w:sz w:val="21"/>
      <w:szCs w:val="24"/>
    </w:rPr>
  </w:style>
  <w:style w:type="paragraph" w:styleId="21">
    <w:name w:val="List 2"/>
    <w:basedOn w:val="a"/>
    <w:unhideWhenUsed/>
    <w:qFormat/>
    <w:rsid w:val="008768CC"/>
    <w:pPr>
      <w:widowControl w:val="0"/>
      <w:spacing w:line="240" w:lineRule="auto"/>
      <w:ind w:leftChars="200" w:left="100" w:hangingChars="200" w:hanging="200"/>
    </w:pPr>
    <w:rPr>
      <w:rFonts w:ascii="Times New Roman" w:eastAsia="宋体" w:hAnsi="Times New Roman"/>
      <w:sz w:val="21"/>
      <w:szCs w:val="24"/>
    </w:rPr>
  </w:style>
  <w:style w:type="paragraph" w:styleId="af3">
    <w:name w:val="List Continue"/>
    <w:basedOn w:val="a"/>
    <w:unhideWhenUsed/>
    <w:qFormat/>
    <w:rsid w:val="008768CC"/>
    <w:pPr>
      <w:widowControl w:val="0"/>
      <w:spacing w:after="120" w:line="240" w:lineRule="auto"/>
      <w:ind w:leftChars="200" w:left="420" w:firstLineChars="0" w:firstLine="0"/>
    </w:pPr>
    <w:rPr>
      <w:rFonts w:ascii="Times New Roman" w:eastAsia="宋体" w:hAnsi="Times New Roman"/>
      <w:sz w:val="21"/>
      <w:szCs w:val="24"/>
    </w:rPr>
  </w:style>
  <w:style w:type="paragraph" w:styleId="af4">
    <w:name w:val="Block Text"/>
    <w:basedOn w:val="a"/>
    <w:unhideWhenUsed/>
    <w:qFormat/>
    <w:rsid w:val="008768CC"/>
    <w:pPr>
      <w:widowControl w:val="0"/>
      <w:spacing w:after="120" w:line="240" w:lineRule="auto"/>
      <w:ind w:leftChars="700" w:left="1440" w:rightChars="700" w:right="1440" w:firstLineChars="0" w:firstLine="0"/>
    </w:pPr>
    <w:rPr>
      <w:rFonts w:ascii="Times New Roman" w:eastAsia="宋体" w:hAnsi="Times New Roman"/>
      <w:sz w:val="21"/>
      <w:szCs w:val="24"/>
    </w:rPr>
  </w:style>
  <w:style w:type="paragraph" w:styleId="22">
    <w:name w:val="List Bullet 2"/>
    <w:basedOn w:val="a"/>
    <w:unhideWhenUsed/>
    <w:qFormat/>
    <w:rsid w:val="008768CC"/>
    <w:pPr>
      <w:widowControl w:val="0"/>
      <w:tabs>
        <w:tab w:val="left" w:pos="780"/>
      </w:tabs>
      <w:spacing w:line="240" w:lineRule="auto"/>
      <w:ind w:left="1005" w:firstLineChars="0" w:hanging="360"/>
    </w:pPr>
    <w:rPr>
      <w:rFonts w:ascii="Times New Roman" w:eastAsia="宋体" w:hAnsi="Times New Roman"/>
      <w:sz w:val="21"/>
      <w:szCs w:val="24"/>
    </w:rPr>
  </w:style>
  <w:style w:type="paragraph" w:styleId="HTML">
    <w:name w:val="HTML Address"/>
    <w:basedOn w:val="a"/>
    <w:link w:val="HTMLChar"/>
    <w:unhideWhenUsed/>
    <w:qFormat/>
    <w:rsid w:val="008768CC"/>
    <w:pPr>
      <w:widowControl w:val="0"/>
      <w:spacing w:line="240" w:lineRule="auto"/>
      <w:ind w:firstLineChars="0" w:firstLine="0"/>
    </w:pPr>
    <w:rPr>
      <w:rFonts w:ascii="Times New Roman" w:eastAsia="宋体" w:hAnsi="Times New Roman"/>
      <w:i/>
      <w:iCs/>
      <w:kern w:val="0"/>
      <w:sz w:val="20"/>
      <w:szCs w:val="24"/>
    </w:rPr>
  </w:style>
  <w:style w:type="character" w:customStyle="1" w:styleId="HTMLChar">
    <w:name w:val="HTML 地址 Char"/>
    <w:basedOn w:val="a0"/>
    <w:link w:val="HTML"/>
    <w:qFormat/>
    <w:rsid w:val="008768CC"/>
    <w:rPr>
      <w:rFonts w:ascii="Times New Roman" w:eastAsia="宋体" w:hAnsi="Times New Roman" w:cs="Times New Roman"/>
      <w:i/>
      <w:iCs/>
      <w:kern w:val="0"/>
      <w:sz w:val="20"/>
      <w:szCs w:val="24"/>
    </w:rPr>
  </w:style>
  <w:style w:type="paragraph" w:styleId="41">
    <w:name w:val="index 4"/>
    <w:basedOn w:val="a"/>
    <w:next w:val="a"/>
    <w:unhideWhenUsed/>
    <w:qFormat/>
    <w:rsid w:val="008768CC"/>
    <w:pPr>
      <w:widowControl w:val="0"/>
      <w:spacing w:line="240" w:lineRule="auto"/>
      <w:ind w:leftChars="600" w:left="600" w:firstLineChars="0" w:firstLine="0"/>
    </w:pPr>
    <w:rPr>
      <w:rFonts w:ascii="Times New Roman" w:eastAsia="宋体" w:hAnsi="Times New Roman"/>
      <w:sz w:val="21"/>
      <w:szCs w:val="24"/>
    </w:rPr>
  </w:style>
  <w:style w:type="paragraph" w:styleId="51">
    <w:name w:val="toc 5"/>
    <w:basedOn w:val="a"/>
    <w:next w:val="a"/>
    <w:unhideWhenUsed/>
    <w:qFormat/>
    <w:rsid w:val="008768CC"/>
    <w:pPr>
      <w:widowControl w:val="0"/>
      <w:spacing w:line="240" w:lineRule="auto"/>
      <w:ind w:left="840" w:firstLineChars="0" w:firstLine="0"/>
      <w:jc w:val="left"/>
    </w:pPr>
    <w:rPr>
      <w:rFonts w:ascii="Calibri" w:eastAsia="宋体" w:hAnsi="Calibri"/>
      <w:sz w:val="18"/>
      <w:szCs w:val="18"/>
    </w:rPr>
  </w:style>
  <w:style w:type="paragraph" w:styleId="34">
    <w:name w:val="toc 3"/>
    <w:basedOn w:val="a"/>
    <w:next w:val="a"/>
    <w:unhideWhenUsed/>
    <w:qFormat/>
    <w:rsid w:val="008768CC"/>
    <w:pPr>
      <w:widowControl w:val="0"/>
      <w:spacing w:line="240" w:lineRule="auto"/>
      <w:ind w:left="420" w:firstLineChars="0" w:firstLine="0"/>
      <w:jc w:val="left"/>
    </w:pPr>
    <w:rPr>
      <w:rFonts w:ascii="Calibri" w:eastAsia="宋体" w:hAnsi="Calibri"/>
      <w:i/>
      <w:iCs/>
      <w:sz w:val="20"/>
      <w:szCs w:val="20"/>
    </w:rPr>
  </w:style>
  <w:style w:type="paragraph" w:styleId="af5">
    <w:name w:val="Plain Text"/>
    <w:basedOn w:val="a"/>
    <w:link w:val="Char12"/>
    <w:qFormat/>
    <w:rsid w:val="008768CC"/>
    <w:pPr>
      <w:widowControl w:val="0"/>
      <w:spacing w:line="240" w:lineRule="auto"/>
      <w:ind w:firstLineChars="0" w:firstLine="0"/>
    </w:pPr>
    <w:rPr>
      <w:rFonts w:ascii="宋体" w:eastAsia="宋体" w:hAnsi="Courier New"/>
      <w:sz w:val="30"/>
      <w:szCs w:val="20"/>
    </w:rPr>
  </w:style>
  <w:style w:type="character" w:customStyle="1" w:styleId="Char8">
    <w:name w:val="纯文本 Char"/>
    <w:basedOn w:val="a0"/>
    <w:qFormat/>
    <w:rsid w:val="008768CC"/>
    <w:rPr>
      <w:rFonts w:ascii="宋体" w:eastAsia="宋体" w:hAnsi="Courier New" w:cs="Courier New"/>
      <w:szCs w:val="21"/>
    </w:rPr>
  </w:style>
  <w:style w:type="paragraph" w:styleId="52">
    <w:name w:val="List Bullet 5"/>
    <w:basedOn w:val="a"/>
    <w:unhideWhenUsed/>
    <w:qFormat/>
    <w:rsid w:val="008768CC"/>
    <w:pPr>
      <w:widowControl w:val="0"/>
      <w:tabs>
        <w:tab w:val="left" w:pos="851"/>
        <w:tab w:val="left" w:pos="2040"/>
      </w:tabs>
      <w:spacing w:line="240" w:lineRule="auto"/>
      <w:ind w:left="425" w:firstLineChars="0" w:hanging="425"/>
    </w:pPr>
    <w:rPr>
      <w:rFonts w:ascii="Times New Roman" w:eastAsia="宋体" w:hAnsi="Times New Roman"/>
      <w:sz w:val="21"/>
      <w:szCs w:val="24"/>
    </w:rPr>
  </w:style>
  <w:style w:type="paragraph" w:styleId="42">
    <w:name w:val="List Number 4"/>
    <w:basedOn w:val="a"/>
    <w:unhideWhenUsed/>
    <w:qFormat/>
    <w:rsid w:val="008768CC"/>
    <w:pPr>
      <w:widowControl w:val="0"/>
      <w:tabs>
        <w:tab w:val="left" w:pos="851"/>
        <w:tab w:val="left" w:pos="1620"/>
      </w:tabs>
      <w:spacing w:line="240" w:lineRule="auto"/>
      <w:ind w:left="425" w:firstLineChars="0" w:hanging="425"/>
    </w:pPr>
    <w:rPr>
      <w:rFonts w:ascii="Times New Roman" w:eastAsia="宋体" w:hAnsi="Times New Roman"/>
      <w:sz w:val="21"/>
      <w:szCs w:val="24"/>
    </w:rPr>
  </w:style>
  <w:style w:type="paragraph" w:styleId="81">
    <w:name w:val="toc 8"/>
    <w:basedOn w:val="a"/>
    <w:next w:val="a"/>
    <w:unhideWhenUsed/>
    <w:qFormat/>
    <w:rsid w:val="008768CC"/>
    <w:pPr>
      <w:widowControl w:val="0"/>
      <w:spacing w:line="240" w:lineRule="auto"/>
      <w:ind w:left="1470" w:firstLineChars="0" w:firstLine="0"/>
      <w:jc w:val="left"/>
    </w:pPr>
    <w:rPr>
      <w:rFonts w:ascii="Calibri" w:eastAsia="宋体" w:hAnsi="Calibri"/>
      <w:sz w:val="18"/>
      <w:szCs w:val="18"/>
    </w:rPr>
  </w:style>
  <w:style w:type="paragraph" w:styleId="35">
    <w:name w:val="index 3"/>
    <w:basedOn w:val="a"/>
    <w:next w:val="a"/>
    <w:unhideWhenUsed/>
    <w:qFormat/>
    <w:rsid w:val="008768CC"/>
    <w:pPr>
      <w:widowControl w:val="0"/>
      <w:spacing w:line="240" w:lineRule="auto"/>
      <w:ind w:leftChars="400" w:left="400" w:firstLineChars="0" w:firstLine="0"/>
    </w:pPr>
    <w:rPr>
      <w:rFonts w:ascii="Times New Roman" w:eastAsia="宋体" w:hAnsi="Times New Roman"/>
      <w:sz w:val="21"/>
      <w:szCs w:val="24"/>
    </w:rPr>
  </w:style>
  <w:style w:type="paragraph" w:styleId="af6">
    <w:name w:val="Date"/>
    <w:basedOn w:val="a"/>
    <w:next w:val="a"/>
    <w:link w:val="Char9"/>
    <w:qFormat/>
    <w:rsid w:val="008768CC"/>
    <w:pPr>
      <w:widowControl w:val="0"/>
      <w:spacing w:line="240" w:lineRule="auto"/>
      <w:ind w:firstLineChars="0" w:firstLine="0"/>
    </w:pPr>
    <w:rPr>
      <w:rFonts w:ascii="宋体" w:eastAsia="宋体" w:hAnsi="宋体"/>
      <w:sz w:val="30"/>
      <w:szCs w:val="20"/>
    </w:rPr>
  </w:style>
  <w:style w:type="character" w:customStyle="1" w:styleId="Char9">
    <w:name w:val="日期 Char"/>
    <w:basedOn w:val="a0"/>
    <w:link w:val="af6"/>
    <w:qFormat/>
    <w:rsid w:val="008768CC"/>
    <w:rPr>
      <w:rFonts w:ascii="宋体" w:eastAsia="宋体" w:hAnsi="宋体" w:cs="Times New Roman"/>
      <w:sz w:val="30"/>
      <w:szCs w:val="20"/>
    </w:rPr>
  </w:style>
  <w:style w:type="paragraph" w:styleId="23">
    <w:name w:val="Body Text Indent 2"/>
    <w:basedOn w:val="a"/>
    <w:link w:val="2Char0"/>
    <w:qFormat/>
    <w:rsid w:val="008768CC"/>
    <w:pPr>
      <w:widowControl w:val="0"/>
      <w:spacing w:line="240" w:lineRule="auto"/>
      <w:ind w:firstLineChars="0" w:firstLine="600"/>
    </w:pPr>
    <w:rPr>
      <w:rFonts w:eastAsia="宋体" w:hAnsi="宋体"/>
      <w:sz w:val="30"/>
      <w:szCs w:val="20"/>
    </w:rPr>
  </w:style>
  <w:style w:type="character" w:customStyle="1" w:styleId="2Char0">
    <w:name w:val="正文文本缩进 2 Char"/>
    <w:basedOn w:val="a0"/>
    <w:link w:val="23"/>
    <w:qFormat/>
    <w:rsid w:val="008768CC"/>
    <w:rPr>
      <w:rFonts w:ascii="仿宋_GB2312" w:eastAsia="宋体" w:hAnsi="宋体" w:cs="Times New Roman"/>
      <w:sz w:val="30"/>
      <w:szCs w:val="20"/>
    </w:rPr>
  </w:style>
  <w:style w:type="paragraph" w:styleId="af7">
    <w:name w:val="endnote text"/>
    <w:basedOn w:val="a"/>
    <w:link w:val="Chara"/>
    <w:unhideWhenUsed/>
    <w:qFormat/>
    <w:rsid w:val="008768CC"/>
    <w:pPr>
      <w:widowControl w:val="0"/>
      <w:snapToGrid w:val="0"/>
      <w:spacing w:line="240" w:lineRule="auto"/>
      <w:ind w:firstLineChars="0" w:firstLine="0"/>
      <w:jc w:val="left"/>
    </w:pPr>
    <w:rPr>
      <w:rFonts w:ascii="Times New Roman" w:eastAsia="宋体" w:hAnsi="Times New Roman"/>
      <w:kern w:val="0"/>
      <w:sz w:val="20"/>
      <w:szCs w:val="24"/>
    </w:rPr>
  </w:style>
  <w:style w:type="character" w:customStyle="1" w:styleId="Chara">
    <w:name w:val="尾注文本 Char"/>
    <w:basedOn w:val="a0"/>
    <w:link w:val="af7"/>
    <w:qFormat/>
    <w:rsid w:val="008768CC"/>
    <w:rPr>
      <w:rFonts w:ascii="Times New Roman" w:eastAsia="宋体" w:hAnsi="Times New Roman" w:cs="Times New Roman"/>
      <w:kern w:val="0"/>
      <w:sz w:val="20"/>
      <w:szCs w:val="24"/>
    </w:rPr>
  </w:style>
  <w:style w:type="paragraph" w:styleId="53">
    <w:name w:val="List Continue 5"/>
    <w:basedOn w:val="a"/>
    <w:unhideWhenUsed/>
    <w:qFormat/>
    <w:rsid w:val="008768CC"/>
    <w:pPr>
      <w:widowControl w:val="0"/>
      <w:spacing w:after="120" w:line="240" w:lineRule="auto"/>
      <w:ind w:leftChars="1000" w:left="2100" w:firstLineChars="0" w:firstLine="0"/>
    </w:pPr>
    <w:rPr>
      <w:rFonts w:ascii="Times New Roman" w:eastAsia="宋体" w:hAnsi="Times New Roman"/>
      <w:sz w:val="21"/>
      <w:szCs w:val="24"/>
    </w:rPr>
  </w:style>
  <w:style w:type="paragraph" w:styleId="af8">
    <w:name w:val="Balloon Text"/>
    <w:basedOn w:val="a"/>
    <w:link w:val="Charb"/>
    <w:qFormat/>
    <w:rsid w:val="008768CC"/>
    <w:pPr>
      <w:widowControl w:val="0"/>
      <w:spacing w:line="240" w:lineRule="auto"/>
      <w:ind w:firstLineChars="0" w:firstLine="0"/>
    </w:pPr>
    <w:rPr>
      <w:rFonts w:ascii="宋体" w:eastAsia="宋体" w:hAnsi="宋体"/>
      <w:sz w:val="18"/>
      <w:szCs w:val="18"/>
    </w:rPr>
  </w:style>
  <w:style w:type="character" w:customStyle="1" w:styleId="Charb">
    <w:name w:val="批注框文本 Char"/>
    <w:basedOn w:val="a0"/>
    <w:link w:val="af8"/>
    <w:qFormat/>
    <w:rsid w:val="008768CC"/>
    <w:rPr>
      <w:rFonts w:ascii="宋体" w:eastAsia="宋体" w:hAnsi="宋体" w:cs="Times New Roman"/>
      <w:sz w:val="18"/>
      <w:szCs w:val="18"/>
    </w:rPr>
  </w:style>
  <w:style w:type="paragraph" w:styleId="af9">
    <w:name w:val="footer"/>
    <w:basedOn w:val="a"/>
    <w:link w:val="Charc"/>
    <w:uiPriority w:val="99"/>
    <w:qFormat/>
    <w:rsid w:val="008768CC"/>
    <w:pPr>
      <w:widowControl w:val="0"/>
      <w:tabs>
        <w:tab w:val="center" w:pos="4153"/>
        <w:tab w:val="right" w:pos="8306"/>
      </w:tabs>
      <w:snapToGrid w:val="0"/>
      <w:spacing w:line="240" w:lineRule="auto"/>
      <w:ind w:firstLineChars="0" w:firstLine="0"/>
      <w:jc w:val="left"/>
    </w:pPr>
    <w:rPr>
      <w:rFonts w:ascii="宋体" w:eastAsia="宋体" w:hAnsi="宋体"/>
      <w:sz w:val="18"/>
      <w:szCs w:val="20"/>
    </w:rPr>
  </w:style>
  <w:style w:type="character" w:customStyle="1" w:styleId="Charc">
    <w:name w:val="页脚 Char"/>
    <w:basedOn w:val="a0"/>
    <w:link w:val="af9"/>
    <w:uiPriority w:val="99"/>
    <w:qFormat/>
    <w:rsid w:val="008768CC"/>
    <w:rPr>
      <w:rFonts w:ascii="宋体" w:eastAsia="宋体" w:hAnsi="宋体" w:cs="Times New Roman"/>
      <w:sz w:val="18"/>
      <w:szCs w:val="20"/>
    </w:rPr>
  </w:style>
  <w:style w:type="paragraph" w:styleId="afa">
    <w:name w:val="envelope return"/>
    <w:basedOn w:val="a"/>
    <w:unhideWhenUsed/>
    <w:qFormat/>
    <w:rsid w:val="008768CC"/>
    <w:pPr>
      <w:widowControl w:val="0"/>
      <w:snapToGrid w:val="0"/>
      <w:spacing w:line="240" w:lineRule="auto"/>
      <w:ind w:firstLineChars="0" w:firstLine="0"/>
    </w:pPr>
    <w:rPr>
      <w:rFonts w:ascii="Arial" w:eastAsia="宋体" w:hAnsi="Arial" w:cs="Arial"/>
      <w:sz w:val="21"/>
      <w:szCs w:val="24"/>
    </w:rPr>
  </w:style>
  <w:style w:type="paragraph" w:styleId="afb">
    <w:name w:val="header"/>
    <w:basedOn w:val="a"/>
    <w:link w:val="Chard"/>
    <w:qFormat/>
    <w:rsid w:val="008768CC"/>
    <w:pPr>
      <w:widowControl w:val="0"/>
      <w:pBdr>
        <w:bottom w:val="single" w:sz="6" w:space="1" w:color="auto"/>
      </w:pBdr>
      <w:tabs>
        <w:tab w:val="center" w:pos="4153"/>
        <w:tab w:val="right" w:pos="8306"/>
      </w:tabs>
      <w:snapToGrid w:val="0"/>
      <w:spacing w:line="240" w:lineRule="auto"/>
      <w:ind w:firstLineChars="0" w:firstLine="0"/>
      <w:jc w:val="center"/>
    </w:pPr>
    <w:rPr>
      <w:rFonts w:ascii="宋体" w:eastAsia="宋体" w:hAnsi="宋体"/>
      <w:sz w:val="18"/>
      <w:szCs w:val="20"/>
    </w:rPr>
  </w:style>
  <w:style w:type="character" w:customStyle="1" w:styleId="Chard">
    <w:name w:val="页眉 Char"/>
    <w:basedOn w:val="a0"/>
    <w:link w:val="afb"/>
    <w:qFormat/>
    <w:rsid w:val="008768CC"/>
    <w:rPr>
      <w:rFonts w:ascii="宋体" w:eastAsia="宋体" w:hAnsi="宋体" w:cs="Times New Roman"/>
      <w:sz w:val="18"/>
      <w:szCs w:val="20"/>
    </w:rPr>
  </w:style>
  <w:style w:type="paragraph" w:styleId="afc">
    <w:name w:val="Signature"/>
    <w:basedOn w:val="a"/>
    <w:link w:val="Chare"/>
    <w:unhideWhenUsed/>
    <w:qFormat/>
    <w:rsid w:val="008768CC"/>
    <w:pPr>
      <w:widowControl w:val="0"/>
      <w:spacing w:line="240" w:lineRule="auto"/>
      <w:ind w:leftChars="2100" w:left="100" w:firstLineChars="0" w:firstLine="0"/>
    </w:pPr>
    <w:rPr>
      <w:rFonts w:ascii="Times New Roman" w:eastAsia="宋体" w:hAnsi="Times New Roman"/>
      <w:kern w:val="0"/>
      <w:sz w:val="20"/>
      <w:szCs w:val="24"/>
    </w:rPr>
  </w:style>
  <w:style w:type="character" w:customStyle="1" w:styleId="Chare">
    <w:name w:val="签名 Char"/>
    <w:basedOn w:val="a0"/>
    <w:link w:val="afc"/>
    <w:qFormat/>
    <w:rsid w:val="008768CC"/>
    <w:rPr>
      <w:rFonts w:ascii="Times New Roman" w:eastAsia="宋体" w:hAnsi="Times New Roman" w:cs="Times New Roman"/>
      <w:kern w:val="0"/>
      <w:sz w:val="20"/>
      <w:szCs w:val="24"/>
    </w:rPr>
  </w:style>
  <w:style w:type="paragraph" w:styleId="10">
    <w:name w:val="toc 1"/>
    <w:basedOn w:val="a"/>
    <w:next w:val="a"/>
    <w:uiPriority w:val="39"/>
    <w:unhideWhenUsed/>
    <w:qFormat/>
    <w:rsid w:val="008768CC"/>
    <w:pPr>
      <w:widowControl w:val="0"/>
      <w:spacing w:before="120" w:after="120" w:line="240" w:lineRule="auto"/>
      <w:ind w:firstLineChars="0" w:firstLine="0"/>
      <w:jc w:val="left"/>
    </w:pPr>
    <w:rPr>
      <w:rFonts w:ascii="Calibri" w:eastAsia="宋体" w:hAnsi="Calibri"/>
      <w:b/>
      <w:bCs/>
      <w:caps/>
      <w:sz w:val="20"/>
      <w:szCs w:val="20"/>
    </w:rPr>
  </w:style>
  <w:style w:type="paragraph" w:styleId="43">
    <w:name w:val="List Continue 4"/>
    <w:basedOn w:val="a"/>
    <w:unhideWhenUsed/>
    <w:qFormat/>
    <w:rsid w:val="008768CC"/>
    <w:pPr>
      <w:widowControl w:val="0"/>
      <w:spacing w:after="120" w:line="240" w:lineRule="auto"/>
      <w:ind w:leftChars="800" w:left="1680" w:firstLineChars="0" w:firstLine="0"/>
    </w:pPr>
    <w:rPr>
      <w:rFonts w:ascii="Times New Roman" w:eastAsia="宋体" w:hAnsi="Times New Roman"/>
      <w:sz w:val="21"/>
      <w:szCs w:val="24"/>
    </w:rPr>
  </w:style>
  <w:style w:type="paragraph" w:styleId="44">
    <w:name w:val="toc 4"/>
    <w:basedOn w:val="a"/>
    <w:next w:val="a"/>
    <w:unhideWhenUsed/>
    <w:qFormat/>
    <w:rsid w:val="008768CC"/>
    <w:pPr>
      <w:widowControl w:val="0"/>
      <w:spacing w:line="240" w:lineRule="auto"/>
      <w:ind w:left="630" w:firstLineChars="0" w:firstLine="0"/>
      <w:jc w:val="left"/>
    </w:pPr>
    <w:rPr>
      <w:rFonts w:ascii="Calibri" w:eastAsia="宋体" w:hAnsi="Calibri"/>
      <w:sz w:val="18"/>
      <w:szCs w:val="18"/>
    </w:rPr>
  </w:style>
  <w:style w:type="paragraph" w:styleId="11">
    <w:name w:val="index 1"/>
    <w:basedOn w:val="a"/>
    <w:next w:val="a"/>
    <w:autoRedefine/>
    <w:unhideWhenUsed/>
    <w:qFormat/>
    <w:rsid w:val="008768CC"/>
    <w:pPr>
      <w:ind w:firstLine="0"/>
    </w:pPr>
  </w:style>
  <w:style w:type="paragraph" w:styleId="afd">
    <w:name w:val="index heading"/>
    <w:basedOn w:val="a"/>
    <w:next w:val="11"/>
    <w:unhideWhenUsed/>
    <w:qFormat/>
    <w:rsid w:val="008768CC"/>
    <w:pPr>
      <w:widowControl w:val="0"/>
      <w:spacing w:line="240" w:lineRule="auto"/>
      <w:ind w:firstLineChars="0" w:firstLine="0"/>
    </w:pPr>
    <w:rPr>
      <w:rFonts w:ascii="Arial" w:eastAsia="宋体" w:hAnsi="Arial" w:cs="Arial"/>
      <w:b/>
      <w:bCs/>
      <w:sz w:val="21"/>
      <w:szCs w:val="24"/>
    </w:rPr>
  </w:style>
  <w:style w:type="paragraph" w:styleId="afe">
    <w:name w:val="Subtitle"/>
    <w:basedOn w:val="a"/>
    <w:link w:val="Charf"/>
    <w:qFormat/>
    <w:rsid w:val="008768CC"/>
    <w:pPr>
      <w:widowControl w:val="0"/>
      <w:spacing w:before="240" w:after="60" w:line="312" w:lineRule="auto"/>
      <w:ind w:firstLineChars="0" w:firstLine="0"/>
      <w:jc w:val="center"/>
      <w:outlineLvl w:val="1"/>
    </w:pPr>
    <w:rPr>
      <w:rFonts w:ascii="Arial" w:eastAsia="宋体" w:hAnsi="Arial" w:cs="Arial"/>
      <w:b/>
      <w:bCs/>
      <w:kern w:val="28"/>
    </w:rPr>
  </w:style>
  <w:style w:type="character" w:customStyle="1" w:styleId="Charf">
    <w:name w:val="副标题 Char"/>
    <w:basedOn w:val="a0"/>
    <w:link w:val="afe"/>
    <w:qFormat/>
    <w:rsid w:val="008768CC"/>
    <w:rPr>
      <w:rFonts w:ascii="Arial" w:eastAsia="宋体" w:hAnsi="Arial" w:cs="Arial"/>
      <w:b/>
      <w:bCs/>
      <w:kern w:val="28"/>
      <w:sz w:val="32"/>
      <w:szCs w:val="32"/>
    </w:rPr>
  </w:style>
  <w:style w:type="paragraph" w:styleId="54">
    <w:name w:val="List Number 5"/>
    <w:basedOn w:val="a"/>
    <w:unhideWhenUsed/>
    <w:qFormat/>
    <w:rsid w:val="008768CC"/>
    <w:pPr>
      <w:widowControl w:val="0"/>
      <w:tabs>
        <w:tab w:val="left" w:pos="2040"/>
      </w:tabs>
      <w:spacing w:line="240" w:lineRule="auto"/>
      <w:ind w:left="1080" w:firstLineChars="0" w:hanging="1080"/>
    </w:pPr>
    <w:rPr>
      <w:rFonts w:ascii="Times New Roman" w:eastAsia="宋体" w:hAnsi="Times New Roman"/>
      <w:sz w:val="21"/>
      <w:szCs w:val="24"/>
    </w:rPr>
  </w:style>
  <w:style w:type="paragraph" w:styleId="aff">
    <w:name w:val="List"/>
    <w:basedOn w:val="a"/>
    <w:unhideWhenUsed/>
    <w:qFormat/>
    <w:rsid w:val="008768CC"/>
    <w:pPr>
      <w:widowControl w:val="0"/>
      <w:spacing w:line="240" w:lineRule="auto"/>
      <w:ind w:left="200" w:hangingChars="200" w:hanging="200"/>
    </w:pPr>
    <w:rPr>
      <w:rFonts w:ascii="Times New Roman" w:eastAsia="宋体" w:hAnsi="Times New Roman"/>
      <w:sz w:val="21"/>
      <w:szCs w:val="24"/>
    </w:rPr>
  </w:style>
  <w:style w:type="paragraph" w:styleId="aff0">
    <w:name w:val="footnote text"/>
    <w:basedOn w:val="a"/>
    <w:link w:val="Charf0"/>
    <w:unhideWhenUsed/>
    <w:qFormat/>
    <w:rsid w:val="008768CC"/>
    <w:pPr>
      <w:widowControl w:val="0"/>
      <w:snapToGrid w:val="0"/>
      <w:spacing w:line="240" w:lineRule="auto"/>
      <w:ind w:firstLineChars="0" w:firstLine="0"/>
      <w:jc w:val="left"/>
    </w:pPr>
    <w:rPr>
      <w:rFonts w:ascii="Times New Roman" w:eastAsia="宋体" w:hAnsi="Times New Roman"/>
      <w:kern w:val="0"/>
      <w:sz w:val="18"/>
      <w:szCs w:val="18"/>
    </w:rPr>
  </w:style>
  <w:style w:type="character" w:customStyle="1" w:styleId="Charf0">
    <w:name w:val="脚注文本 Char"/>
    <w:basedOn w:val="a0"/>
    <w:link w:val="aff0"/>
    <w:qFormat/>
    <w:rsid w:val="008768CC"/>
    <w:rPr>
      <w:rFonts w:ascii="Times New Roman" w:eastAsia="宋体" w:hAnsi="Times New Roman" w:cs="Times New Roman"/>
      <w:kern w:val="0"/>
      <w:sz w:val="18"/>
      <w:szCs w:val="18"/>
    </w:rPr>
  </w:style>
  <w:style w:type="paragraph" w:styleId="61">
    <w:name w:val="toc 6"/>
    <w:basedOn w:val="a"/>
    <w:next w:val="a"/>
    <w:unhideWhenUsed/>
    <w:qFormat/>
    <w:rsid w:val="008768CC"/>
    <w:pPr>
      <w:widowControl w:val="0"/>
      <w:spacing w:line="240" w:lineRule="auto"/>
      <w:ind w:left="1050" w:firstLineChars="0" w:firstLine="0"/>
      <w:jc w:val="left"/>
    </w:pPr>
    <w:rPr>
      <w:rFonts w:ascii="Calibri" w:eastAsia="宋体" w:hAnsi="Calibri"/>
      <w:sz w:val="18"/>
      <w:szCs w:val="18"/>
    </w:rPr>
  </w:style>
  <w:style w:type="paragraph" w:styleId="55">
    <w:name w:val="List 5"/>
    <w:basedOn w:val="a"/>
    <w:unhideWhenUsed/>
    <w:qFormat/>
    <w:rsid w:val="008768CC"/>
    <w:pPr>
      <w:widowControl w:val="0"/>
      <w:spacing w:line="240" w:lineRule="auto"/>
      <w:ind w:leftChars="800" w:left="100" w:hangingChars="200" w:hanging="200"/>
    </w:pPr>
    <w:rPr>
      <w:rFonts w:ascii="Times New Roman" w:eastAsia="宋体" w:hAnsi="Times New Roman"/>
      <w:sz w:val="21"/>
      <w:szCs w:val="24"/>
    </w:rPr>
  </w:style>
  <w:style w:type="paragraph" w:styleId="36">
    <w:name w:val="Body Text Indent 3"/>
    <w:basedOn w:val="a"/>
    <w:link w:val="3Char1"/>
    <w:qFormat/>
    <w:rsid w:val="008768CC"/>
    <w:pPr>
      <w:widowControl w:val="0"/>
      <w:spacing w:line="240" w:lineRule="auto"/>
      <w:ind w:firstLineChars="0" w:firstLine="624"/>
    </w:pPr>
    <w:rPr>
      <w:rFonts w:ascii="宋体" w:eastAsia="宋体" w:hAnsi="宋体"/>
      <w:sz w:val="30"/>
      <w:szCs w:val="20"/>
    </w:rPr>
  </w:style>
  <w:style w:type="character" w:customStyle="1" w:styleId="3Char1">
    <w:name w:val="正文文本缩进 3 Char"/>
    <w:basedOn w:val="a0"/>
    <w:link w:val="36"/>
    <w:qFormat/>
    <w:rsid w:val="008768CC"/>
    <w:rPr>
      <w:rFonts w:ascii="宋体" w:eastAsia="宋体" w:hAnsi="宋体" w:cs="Times New Roman"/>
      <w:sz w:val="30"/>
      <w:szCs w:val="20"/>
    </w:rPr>
  </w:style>
  <w:style w:type="paragraph" w:styleId="71">
    <w:name w:val="index 7"/>
    <w:basedOn w:val="a"/>
    <w:next w:val="a"/>
    <w:unhideWhenUsed/>
    <w:qFormat/>
    <w:rsid w:val="008768CC"/>
    <w:pPr>
      <w:widowControl w:val="0"/>
      <w:spacing w:line="240" w:lineRule="auto"/>
      <w:ind w:leftChars="1200" w:left="1200" w:firstLineChars="0" w:firstLine="0"/>
    </w:pPr>
    <w:rPr>
      <w:rFonts w:ascii="Times New Roman" w:eastAsia="宋体" w:hAnsi="Times New Roman"/>
      <w:sz w:val="21"/>
      <w:szCs w:val="24"/>
    </w:rPr>
  </w:style>
  <w:style w:type="paragraph" w:styleId="90">
    <w:name w:val="index 9"/>
    <w:basedOn w:val="a"/>
    <w:next w:val="a"/>
    <w:unhideWhenUsed/>
    <w:qFormat/>
    <w:rsid w:val="008768CC"/>
    <w:pPr>
      <w:widowControl w:val="0"/>
      <w:spacing w:line="240" w:lineRule="auto"/>
      <w:ind w:leftChars="1600" w:left="1600" w:firstLineChars="0" w:firstLine="0"/>
    </w:pPr>
    <w:rPr>
      <w:rFonts w:ascii="Times New Roman" w:eastAsia="宋体" w:hAnsi="Times New Roman"/>
      <w:sz w:val="21"/>
      <w:szCs w:val="24"/>
    </w:rPr>
  </w:style>
  <w:style w:type="paragraph" w:styleId="aff1">
    <w:name w:val="table of figures"/>
    <w:basedOn w:val="a"/>
    <w:next w:val="a"/>
    <w:unhideWhenUsed/>
    <w:qFormat/>
    <w:rsid w:val="008768CC"/>
    <w:pPr>
      <w:widowControl w:val="0"/>
      <w:spacing w:line="240" w:lineRule="auto"/>
      <w:ind w:leftChars="200" w:left="200" w:hangingChars="200" w:hanging="200"/>
    </w:pPr>
    <w:rPr>
      <w:rFonts w:ascii="Times New Roman" w:eastAsia="宋体" w:hAnsi="Times New Roman"/>
      <w:sz w:val="21"/>
      <w:szCs w:val="24"/>
    </w:rPr>
  </w:style>
  <w:style w:type="paragraph" w:styleId="24">
    <w:name w:val="toc 2"/>
    <w:basedOn w:val="a"/>
    <w:next w:val="a"/>
    <w:uiPriority w:val="39"/>
    <w:unhideWhenUsed/>
    <w:qFormat/>
    <w:rsid w:val="008768CC"/>
    <w:pPr>
      <w:widowControl w:val="0"/>
      <w:spacing w:line="240" w:lineRule="auto"/>
      <w:ind w:left="210" w:firstLineChars="0" w:firstLine="0"/>
      <w:jc w:val="left"/>
    </w:pPr>
    <w:rPr>
      <w:rFonts w:ascii="Calibri" w:eastAsia="宋体" w:hAnsi="Calibri"/>
      <w:smallCaps/>
      <w:sz w:val="20"/>
      <w:szCs w:val="20"/>
    </w:rPr>
  </w:style>
  <w:style w:type="paragraph" w:styleId="91">
    <w:name w:val="toc 9"/>
    <w:basedOn w:val="a"/>
    <w:next w:val="a"/>
    <w:unhideWhenUsed/>
    <w:qFormat/>
    <w:rsid w:val="008768CC"/>
    <w:pPr>
      <w:widowControl w:val="0"/>
      <w:spacing w:line="240" w:lineRule="auto"/>
      <w:ind w:left="1680" w:firstLineChars="0" w:firstLine="0"/>
      <w:jc w:val="left"/>
    </w:pPr>
    <w:rPr>
      <w:rFonts w:ascii="Calibri" w:eastAsia="宋体" w:hAnsi="Calibri"/>
      <w:sz w:val="18"/>
      <w:szCs w:val="18"/>
    </w:rPr>
  </w:style>
  <w:style w:type="paragraph" w:styleId="25">
    <w:name w:val="Body Text 2"/>
    <w:basedOn w:val="a"/>
    <w:link w:val="2Char1"/>
    <w:unhideWhenUsed/>
    <w:qFormat/>
    <w:rsid w:val="008768CC"/>
    <w:pPr>
      <w:widowControl w:val="0"/>
      <w:spacing w:after="120" w:line="480" w:lineRule="auto"/>
      <w:ind w:firstLineChars="0" w:firstLine="0"/>
    </w:pPr>
    <w:rPr>
      <w:rFonts w:ascii="Times New Roman" w:eastAsia="宋体" w:hAnsi="Times New Roman"/>
      <w:kern w:val="0"/>
      <w:sz w:val="20"/>
      <w:szCs w:val="24"/>
    </w:rPr>
  </w:style>
  <w:style w:type="character" w:customStyle="1" w:styleId="2Char1">
    <w:name w:val="正文文本 2 Char"/>
    <w:basedOn w:val="a0"/>
    <w:link w:val="25"/>
    <w:qFormat/>
    <w:rsid w:val="008768CC"/>
    <w:rPr>
      <w:rFonts w:ascii="Times New Roman" w:eastAsia="宋体" w:hAnsi="Times New Roman" w:cs="Times New Roman"/>
      <w:kern w:val="0"/>
      <w:sz w:val="20"/>
      <w:szCs w:val="24"/>
    </w:rPr>
  </w:style>
  <w:style w:type="paragraph" w:styleId="45">
    <w:name w:val="List 4"/>
    <w:basedOn w:val="a"/>
    <w:unhideWhenUsed/>
    <w:qFormat/>
    <w:rsid w:val="008768CC"/>
    <w:pPr>
      <w:widowControl w:val="0"/>
      <w:spacing w:line="240" w:lineRule="auto"/>
      <w:ind w:leftChars="600" w:left="100" w:hangingChars="200" w:hanging="200"/>
    </w:pPr>
    <w:rPr>
      <w:rFonts w:ascii="Times New Roman" w:eastAsia="宋体" w:hAnsi="Times New Roman"/>
      <w:sz w:val="21"/>
      <w:szCs w:val="24"/>
    </w:rPr>
  </w:style>
  <w:style w:type="paragraph" w:styleId="26">
    <w:name w:val="List Continue 2"/>
    <w:basedOn w:val="a"/>
    <w:unhideWhenUsed/>
    <w:qFormat/>
    <w:rsid w:val="008768CC"/>
    <w:pPr>
      <w:widowControl w:val="0"/>
      <w:spacing w:after="120" w:line="240" w:lineRule="auto"/>
      <w:ind w:leftChars="400" w:left="840" w:firstLineChars="0" w:firstLine="0"/>
    </w:pPr>
    <w:rPr>
      <w:rFonts w:ascii="Times New Roman" w:eastAsia="宋体" w:hAnsi="Times New Roman"/>
      <w:sz w:val="21"/>
      <w:szCs w:val="24"/>
    </w:rPr>
  </w:style>
  <w:style w:type="paragraph" w:styleId="aff2">
    <w:name w:val="Message Header"/>
    <w:basedOn w:val="a"/>
    <w:link w:val="Charf1"/>
    <w:unhideWhenUsed/>
    <w:qFormat/>
    <w:rsid w:val="008768CC"/>
    <w:pPr>
      <w:widowControl w:val="0"/>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Arial" w:eastAsia="宋体" w:hAnsi="Arial" w:cs="Arial"/>
      <w:kern w:val="0"/>
      <w:sz w:val="24"/>
      <w:szCs w:val="24"/>
    </w:rPr>
  </w:style>
  <w:style w:type="character" w:customStyle="1" w:styleId="Charf1">
    <w:name w:val="信息标题 Char"/>
    <w:basedOn w:val="a0"/>
    <w:link w:val="aff2"/>
    <w:qFormat/>
    <w:rsid w:val="008768CC"/>
    <w:rPr>
      <w:rFonts w:ascii="Arial" w:eastAsia="宋体" w:hAnsi="Arial" w:cs="Arial"/>
      <w:kern w:val="0"/>
      <w:sz w:val="24"/>
      <w:szCs w:val="24"/>
      <w:shd w:val="pct20" w:color="auto" w:fill="auto"/>
    </w:rPr>
  </w:style>
  <w:style w:type="paragraph" w:styleId="HTML0">
    <w:name w:val="HTML Preformatted"/>
    <w:basedOn w:val="a"/>
    <w:link w:val="HTMLChar0"/>
    <w:uiPriority w:val="99"/>
    <w:unhideWhenUsed/>
    <w:qFormat/>
    <w:rsid w:val="008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 w:val="24"/>
      <w:szCs w:val="24"/>
    </w:rPr>
  </w:style>
  <w:style w:type="character" w:customStyle="1" w:styleId="HTMLChar0">
    <w:name w:val="HTML 预设格式 Char"/>
    <w:basedOn w:val="a0"/>
    <w:link w:val="HTML0"/>
    <w:uiPriority w:val="99"/>
    <w:qFormat/>
    <w:rsid w:val="008768CC"/>
    <w:rPr>
      <w:rFonts w:ascii="宋体" w:eastAsia="宋体" w:hAnsi="宋体" w:cs="宋体"/>
      <w:kern w:val="0"/>
      <w:sz w:val="24"/>
      <w:szCs w:val="24"/>
    </w:rPr>
  </w:style>
  <w:style w:type="paragraph" w:styleId="aff3">
    <w:name w:val="Normal (Web)"/>
    <w:basedOn w:val="a"/>
    <w:unhideWhenUsed/>
    <w:qFormat/>
    <w:rsid w:val="008768CC"/>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37">
    <w:name w:val="List Continue 3"/>
    <w:basedOn w:val="a"/>
    <w:unhideWhenUsed/>
    <w:qFormat/>
    <w:rsid w:val="008768CC"/>
    <w:pPr>
      <w:widowControl w:val="0"/>
      <w:spacing w:after="120" w:line="240" w:lineRule="auto"/>
      <w:ind w:leftChars="600" w:left="1260" w:firstLineChars="0" w:firstLine="0"/>
    </w:pPr>
    <w:rPr>
      <w:rFonts w:ascii="Times New Roman" w:eastAsia="宋体" w:hAnsi="Times New Roman"/>
      <w:sz w:val="21"/>
      <w:szCs w:val="24"/>
    </w:rPr>
  </w:style>
  <w:style w:type="paragraph" w:styleId="27">
    <w:name w:val="index 2"/>
    <w:basedOn w:val="a"/>
    <w:next w:val="a"/>
    <w:unhideWhenUsed/>
    <w:qFormat/>
    <w:rsid w:val="008768CC"/>
    <w:pPr>
      <w:widowControl w:val="0"/>
      <w:spacing w:line="240" w:lineRule="auto"/>
      <w:ind w:leftChars="200" w:left="200" w:firstLineChars="0" w:firstLine="0"/>
    </w:pPr>
    <w:rPr>
      <w:rFonts w:ascii="Times New Roman" w:eastAsia="宋体" w:hAnsi="Times New Roman"/>
      <w:sz w:val="21"/>
      <w:szCs w:val="24"/>
    </w:rPr>
  </w:style>
  <w:style w:type="paragraph" w:styleId="aff4">
    <w:name w:val="Title"/>
    <w:basedOn w:val="a"/>
    <w:next w:val="a"/>
    <w:link w:val="Charf2"/>
    <w:qFormat/>
    <w:rsid w:val="008768CC"/>
    <w:pPr>
      <w:widowControl w:val="0"/>
      <w:spacing w:before="240" w:after="60" w:line="240" w:lineRule="auto"/>
      <w:ind w:firstLineChars="0" w:firstLine="0"/>
      <w:jc w:val="center"/>
      <w:outlineLvl w:val="0"/>
    </w:pPr>
    <w:rPr>
      <w:rFonts w:ascii="Cambria" w:eastAsia="宋体" w:hAnsi="Cambria"/>
      <w:b/>
      <w:bCs/>
    </w:rPr>
  </w:style>
  <w:style w:type="character" w:customStyle="1" w:styleId="Charf2">
    <w:name w:val="标题 Char"/>
    <w:basedOn w:val="a0"/>
    <w:link w:val="aff4"/>
    <w:qFormat/>
    <w:rsid w:val="008768CC"/>
    <w:rPr>
      <w:rFonts w:ascii="Cambria" w:eastAsia="宋体" w:hAnsi="Cambria" w:cs="Times New Roman"/>
      <w:b/>
      <w:bCs/>
      <w:sz w:val="32"/>
      <w:szCs w:val="32"/>
    </w:rPr>
  </w:style>
  <w:style w:type="paragraph" w:styleId="aff5">
    <w:name w:val="annotation subject"/>
    <w:basedOn w:val="ae"/>
    <w:next w:val="ae"/>
    <w:link w:val="Charf3"/>
    <w:unhideWhenUsed/>
    <w:qFormat/>
    <w:rsid w:val="008768CC"/>
    <w:rPr>
      <w:rFonts w:ascii="宋体" w:hAnsi="宋体" w:cs="宋体"/>
      <w:b/>
      <w:bCs/>
      <w:kern w:val="0"/>
      <w:sz w:val="20"/>
      <w:szCs w:val="21"/>
    </w:rPr>
  </w:style>
  <w:style w:type="character" w:customStyle="1" w:styleId="Charf3">
    <w:name w:val="批注主题 Char"/>
    <w:basedOn w:val="Char3"/>
    <w:link w:val="aff5"/>
    <w:qFormat/>
    <w:rsid w:val="008768CC"/>
    <w:rPr>
      <w:rFonts w:ascii="宋体" w:eastAsia="宋体" w:hAnsi="宋体" w:cs="宋体"/>
      <w:b/>
      <w:bCs/>
      <w:kern w:val="0"/>
      <w:sz w:val="20"/>
      <w:szCs w:val="21"/>
    </w:rPr>
  </w:style>
  <w:style w:type="paragraph" w:styleId="aff6">
    <w:name w:val="Body Text First Indent"/>
    <w:basedOn w:val="af1"/>
    <w:link w:val="Charf4"/>
    <w:qFormat/>
    <w:rsid w:val="008768CC"/>
    <w:pPr>
      <w:widowControl w:val="0"/>
      <w:spacing w:line="240" w:lineRule="auto"/>
      <w:ind w:firstLineChars="100" w:firstLine="420"/>
    </w:pPr>
    <w:rPr>
      <w:rFonts w:ascii="宋体" w:eastAsia="宋体" w:hAnsi="宋体"/>
      <w:sz w:val="30"/>
      <w:szCs w:val="20"/>
    </w:rPr>
  </w:style>
  <w:style w:type="character" w:customStyle="1" w:styleId="Charf4">
    <w:name w:val="正文首行缩进 Char"/>
    <w:basedOn w:val="Char6"/>
    <w:link w:val="aff6"/>
    <w:qFormat/>
    <w:rsid w:val="008768CC"/>
    <w:rPr>
      <w:rFonts w:ascii="宋体" w:eastAsia="宋体" w:hAnsi="宋体" w:cs="Times New Roman"/>
      <w:sz w:val="30"/>
      <w:szCs w:val="20"/>
    </w:rPr>
  </w:style>
  <w:style w:type="paragraph" w:styleId="28">
    <w:name w:val="Body Text First Indent 2"/>
    <w:basedOn w:val="af2"/>
    <w:link w:val="2Char2"/>
    <w:unhideWhenUsed/>
    <w:qFormat/>
    <w:rsid w:val="008768CC"/>
    <w:pPr>
      <w:snapToGrid/>
      <w:spacing w:after="120"/>
      <w:ind w:leftChars="200" w:left="420" w:firstLineChars="200" w:firstLine="420"/>
    </w:pPr>
    <w:rPr>
      <w:rFonts w:ascii="Times New Roman" w:eastAsia="宋体" w:hAnsi="Times New Roman"/>
      <w:kern w:val="0"/>
      <w:sz w:val="20"/>
      <w:szCs w:val="24"/>
    </w:rPr>
  </w:style>
  <w:style w:type="character" w:customStyle="1" w:styleId="2Char2">
    <w:name w:val="正文首行缩进 2 Char"/>
    <w:basedOn w:val="Char7"/>
    <w:link w:val="28"/>
    <w:qFormat/>
    <w:rsid w:val="008768CC"/>
    <w:rPr>
      <w:rFonts w:ascii="Times New Roman" w:eastAsia="宋体" w:hAnsi="Times New Roman" w:cs="Times New Roman"/>
      <w:kern w:val="0"/>
      <w:sz w:val="20"/>
      <w:szCs w:val="24"/>
    </w:rPr>
  </w:style>
  <w:style w:type="table" w:styleId="aff7">
    <w:name w:val="Table Grid"/>
    <w:basedOn w:val="a1"/>
    <w:uiPriority w:val="59"/>
    <w:qFormat/>
    <w:rsid w:val="008768C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sid w:val="008768CC"/>
    <w:rPr>
      <w:b/>
      <w:bCs/>
    </w:rPr>
  </w:style>
  <w:style w:type="character" w:styleId="aff9">
    <w:name w:val="page number"/>
    <w:basedOn w:val="a0"/>
    <w:qFormat/>
    <w:rsid w:val="008768CC"/>
  </w:style>
  <w:style w:type="character" w:styleId="affa">
    <w:name w:val="FollowedHyperlink"/>
    <w:unhideWhenUsed/>
    <w:qFormat/>
    <w:rsid w:val="008768CC"/>
    <w:rPr>
      <w:color w:val="800080"/>
      <w:u w:val="single"/>
    </w:rPr>
  </w:style>
  <w:style w:type="character" w:styleId="affb">
    <w:name w:val="Hyperlink"/>
    <w:uiPriority w:val="99"/>
    <w:unhideWhenUsed/>
    <w:qFormat/>
    <w:rsid w:val="008768CC"/>
    <w:rPr>
      <w:color w:val="0000FF"/>
      <w:u w:val="single"/>
    </w:rPr>
  </w:style>
  <w:style w:type="character" w:styleId="affc">
    <w:name w:val="annotation reference"/>
    <w:unhideWhenUsed/>
    <w:qFormat/>
    <w:rsid w:val="008768CC"/>
    <w:rPr>
      <w:rFonts w:ascii="Times New Roman" w:hAnsi="Times New Roman" w:cs="Times New Roman" w:hint="default"/>
      <w:sz w:val="21"/>
      <w:szCs w:val="21"/>
    </w:rPr>
  </w:style>
  <w:style w:type="character" w:styleId="affd">
    <w:name w:val="footnote reference"/>
    <w:unhideWhenUsed/>
    <w:qFormat/>
    <w:rsid w:val="008768CC"/>
    <w:rPr>
      <w:vertAlign w:val="superscript"/>
    </w:rPr>
  </w:style>
  <w:style w:type="character" w:customStyle="1" w:styleId="Char10">
    <w:name w:val="批注文字 Char1"/>
    <w:link w:val="ae"/>
    <w:qFormat/>
    <w:locked/>
    <w:rsid w:val="008768CC"/>
    <w:rPr>
      <w:rFonts w:ascii="Times New Roman" w:eastAsia="宋体" w:hAnsi="Times New Roman" w:cs="Times New Roman"/>
      <w:szCs w:val="24"/>
    </w:rPr>
  </w:style>
  <w:style w:type="character" w:customStyle="1" w:styleId="Char11">
    <w:name w:val="正文文本缩进 Char1"/>
    <w:link w:val="af2"/>
    <w:qFormat/>
    <w:rsid w:val="008768CC"/>
    <w:rPr>
      <w:rFonts w:ascii="楷体_GB2312" w:eastAsia="楷体_GB2312" w:hAnsi="宋体" w:cs="Times New Roman"/>
      <w:sz w:val="24"/>
      <w:szCs w:val="20"/>
    </w:rPr>
  </w:style>
  <w:style w:type="character" w:customStyle="1" w:styleId="Char12">
    <w:name w:val="纯文本 Char1"/>
    <w:link w:val="af5"/>
    <w:qFormat/>
    <w:locked/>
    <w:rsid w:val="008768CC"/>
    <w:rPr>
      <w:rFonts w:ascii="宋体" w:eastAsia="宋体" w:hAnsi="Courier New" w:cs="Times New Roman"/>
      <w:sz w:val="30"/>
      <w:szCs w:val="20"/>
    </w:rPr>
  </w:style>
  <w:style w:type="character" w:customStyle="1" w:styleId="KWBodytextCharChar">
    <w:name w:val="K&amp;W Body text Char Char"/>
    <w:link w:val="KWBodytext"/>
    <w:qFormat/>
    <w:locked/>
    <w:rsid w:val="008768CC"/>
    <w:rPr>
      <w:rFonts w:ascii="Arial" w:eastAsia="楷体_GB2312" w:hAnsi="Arial"/>
      <w:sz w:val="24"/>
      <w:lang w:eastAsia="en-US"/>
    </w:rPr>
  </w:style>
  <w:style w:type="paragraph" w:customStyle="1" w:styleId="KWBodytext">
    <w:name w:val="K&amp;W Body text"/>
    <w:basedOn w:val="a"/>
    <w:link w:val="KWBodytextCharChar"/>
    <w:qFormat/>
    <w:rsid w:val="008768CC"/>
    <w:pPr>
      <w:spacing w:after="360" w:line="320" w:lineRule="atLeast"/>
      <w:ind w:firstLine="200"/>
    </w:pPr>
    <w:rPr>
      <w:rFonts w:ascii="Arial" w:eastAsia="楷体_GB2312" w:hAnsi="Arial" w:cstheme="minorBidi"/>
      <w:sz w:val="24"/>
      <w:szCs w:val="22"/>
      <w:lang w:eastAsia="en-US"/>
    </w:rPr>
  </w:style>
  <w:style w:type="paragraph" w:customStyle="1" w:styleId="12">
    <w:name w:val="日期1"/>
    <w:basedOn w:val="a"/>
    <w:next w:val="a"/>
    <w:qFormat/>
    <w:rsid w:val="008768CC"/>
    <w:pPr>
      <w:widowControl w:val="0"/>
      <w:autoSpaceDE w:val="0"/>
      <w:autoSpaceDN w:val="0"/>
      <w:adjustRightInd w:val="0"/>
      <w:spacing w:line="240" w:lineRule="auto"/>
      <w:ind w:firstLineChars="0" w:firstLine="0"/>
      <w:textAlignment w:val="baseline"/>
    </w:pPr>
    <w:rPr>
      <w:rFonts w:ascii="宋体" w:eastAsia="宋体" w:hAnsi="宋体"/>
      <w:sz w:val="30"/>
      <w:szCs w:val="20"/>
    </w:rPr>
  </w:style>
  <w:style w:type="paragraph" w:styleId="affe">
    <w:name w:val="No Spacing"/>
    <w:uiPriority w:val="1"/>
    <w:qFormat/>
    <w:rsid w:val="008768CC"/>
    <w:pPr>
      <w:widowControl w:val="0"/>
      <w:jc w:val="both"/>
    </w:pPr>
    <w:rPr>
      <w:rFonts w:ascii="Calibri" w:eastAsia="宋体" w:hAnsi="Calibri" w:cs="Times New Roman"/>
    </w:rPr>
  </w:style>
  <w:style w:type="paragraph" w:styleId="afff">
    <w:name w:val="List Paragraph"/>
    <w:basedOn w:val="a"/>
    <w:uiPriority w:val="34"/>
    <w:qFormat/>
    <w:rsid w:val="008768CC"/>
    <w:pPr>
      <w:widowControl w:val="0"/>
      <w:spacing w:line="240" w:lineRule="auto"/>
      <w:ind w:firstLine="420"/>
    </w:pPr>
    <w:rPr>
      <w:rFonts w:ascii="Calibri" w:eastAsia="宋体" w:hAnsi="Calibri" w:cs="Calibri"/>
      <w:sz w:val="21"/>
      <w:szCs w:val="21"/>
    </w:rPr>
  </w:style>
  <w:style w:type="paragraph" w:customStyle="1" w:styleId="KWheading1">
    <w:name w:val="K&amp;W heading 1"/>
    <w:basedOn w:val="a"/>
    <w:next w:val="a"/>
    <w:qFormat/>
    <w:rsid w:val="008768CC"/>
    <w:pPr>
      <w:keepNext/>
      <w:widowControl w:val="0"/>
      <w:tabs>
        <w:tab w:val="left" w:pos="567"/>
      </w:tabs>
      <w:spacing w:after="360" w:line="320" w:lineRule="exact"/>
      <w:ind w:firstLineChars="0" w:firstLine="0"/>
      <w:outlineLvl w:val="0"/>
    </w:pPr>
    <w:rPr>
      <w:rFonts w:ascii="Arial" w:eastAsia="楷体_GB2312" w:hAnsi="Arial" w:cs="Arial"/>
      <w:b/>
      <w:bCs/>
      <w:kern w:val="0"/>
      <w:sz w:val="28"/>
      <w:szCs w:val="28"/>
      <w:lang w:eastAsia="en-US"/>
    </w:rPr>
  </w:style>
  <w:style w:type="paragraph" w:customStyle="1" w:styleId="13">
    <w:name w:val="样式1"/>
    <w:basedOn w:val="1"/>
    <w:qFormat/>
    <w:rsid w:val="008768CC"/>
    <w:pPr>
      <w:widowControl w:val="0"/>
      <w:spacing w:before="0" w:after="0" w:line="600" w:lineRule="exact"/>
      <w:ind w:firstLineChars="0" w:firstLine="0"/>
      <w:jc w:val="center"/>
    </w:pPr>
    <w:rPr>
      <w:rFonts w:ascii="创艺简标宋" w:eastAsia="创艺简标宋" w:hAnsiTheme="majorEastAsia"/>
      <w:b w:val="0"/>
      <w:spacing w:val="-2"/>
      <w:szCs w:val="36"/>
    </w:rPr>
  </w:style>
  <w:style w:type="paragraph" w:customStyle="1" w:styleId="Charf5">
    <w:name w:val="Char"/>
    <w:basedOn w:val="a"/>
    <w:qFormat/>
    <w:rsid w:val="008768CC"/>
    <w:pPr>
      <w:widowControl w:val="0"/>
      <w:tabs>
        <w:tab w:val="left" w:pos="360"/>
      </w:tabs>
      <w:spacing w:afterLines="50" w:line="240" w:lineRule="auto"/>
      <w:ind w:firstLine="200"/>
    </w:pPr>
    <w:rPr>
      <w:rFonts w:ascii="Times New Roman" w:hAnsi="Times New Roman"/>
      <w:sz w:val="24"/>
      <w:szCs w:val="24"/>
    </w:rPr>
  </w:style>
  <w:style w:type="paragraph" w:customStyle="1" w:styleId="CharCharCharCharCharCharCharCharCharCharCharChar1Char">
    <w:name w:val="Char Char Char Char Char Char Char Char Char Char Char Char1 Char"/>
    <w:basedOn w:val="a"/>
    <w:qFormat/>
    <w:rsid w:val="008768CC"/>
    <w:pPr>
      <w:widowControl w:val="0"/>
      <w:spacing w:line="240" w:lineRule="auto"/>
      <w:ind w:firstLineChars="0" w:firstLine="0"/>
    </w:pPr>
    <w:rPr>
      <w:rFonts w:ascii="Times New Roman" w:eastAsia="宋体" w:hAnsi="Times New Roman"/>
      <w:sz w:val="21"/>
      <w:szCs w:val="24"/>
    </w:rPr>
  </w:style>
  <w:style w:type="paragraph" w:customStyle="1" w:styleId="CharChar1">
    <w:name w:val="Char Char1"/>
    <w:basedOn w:val="a"/>
    <w:qFormat/>
    <w:rsid w:val="008768CC"/>
    <w:pPr>
      <w:widowControl w:val="0"/>
      <w:spacing w:line="360" w:lineRule="auto"/>
      <w:ind w:firstLineChars="0" w:firstLine="0"/>
    </w:pPr>
    <w:rPr>
      <w:rFonts w:ascii="Tahoma" w:hAnsi="Tahoma"/>
      <w:szCs w:val="21"/>
    </w:rPr>
  </w:style>
  <w:style w:type="paragraph" w:customStyle="1" w:styleId="CharChar3">
    <w:name w:val="Char Char3"/>
    <w:basedOn w:val="a"/>
    <w:qFormat/>
    <w:rsid w:val="008768CC"/>
    <w:pPr>
      <w:widowControl w:val="0"/>
      <w:spacing w:line="240" w:lineRule="auto"/>
      <w:ind w:firstLineChars="0" w:firstLine="0"/>
    </w:pPr>
    <w:rPr>
      <w:rFonts w:ascii="Tahoma" w:hAnsi="Tahoma" w:cs="宋体"/>
      <w:sz w:val="24"/>
      <w:szCs w:val="20"/>
    </w:rPr>
  </w:style>
  <w:style w:type="paragraph" w:customStyle="1" w:styleId="CharChar4">
    <w:name w:val="Char Char4"/>
    <w:basedOn w:val="a"/>
    <w:qFormat/>
    <w:rsid w:val="008768CC"/>
    <w:pPr>
      <w:widowControl w:val="0"/>
      <w:snapToGrid w:val="0"/>
      <w:spacing w:line="240" w:lineRule="auto"/>
      <w:ind w:firstLineChars="0" w:firstLine="0"/>
    </w:pPr>
    <w:rPr>
      <w:rFonts w:hAnsi="Times New Roman"/>
      <w:kern w:val="0"/>
    </w:rPr>
  </w:style>
  <w:style w:type="paragraph" w:customStyle="1" w:styleId="CharCharCharChar">
    <w:name w:val="Char Char Char Char"/>
    <w:basedOn w:val="a"/>
    <w:qFormat/>
    <w:rsid w:val="008768CC"/>
    <w:pPr>
      <w:widowControl w:val="0"/>
      <w:spacing w:line="240" w:lineRule="auto"/>
      <w:ind w:firstLineChars="0" w:firstLine="0"/>
    </w:pPr>
    <w:rPr>
      <w:rFonts w:ascii="Times New Roman" w:hAnsi="Times New Roman"/>
      <w:szCs w:val="21"/>
    </w:rPr>
  </w:style>
  <w:style w:type="paragraph" w:customStyle="1" w:styleId="Char13">
    <w:name w:val="Char1"/>
    <w:basedOn w:val="a"/>
    <w:qFormat/>
    <w:rsid w:val="008768CC"/>
    <w:pPr>
      <w:widowControl w:val="0"/>
      <w:spacing w:line="240" w:lineRule="auto"/>
      <w:ind w:firstLineChars="0" w:firstLine="0"/>
    </w:pPr>
    <w:rPr>
      <w:rFonts w:ascii="Tahoma" w:hAnsi="Tahoma" w:cs="宋体"/>
      <w:sz w:val="24"/>
      <w:szCs w:val="20"/>
    </w:rPr>
  </w:style>
  <w:style w:type="paragraph" w:customStyle="1" w:styleId="CharCharCharCharCharChar1Char">
    <w:name w:val="Char Char Char Char Char Char1 Char"/>
    <w:basedOn w:val="a"/>
    <w:qFormat/>
    <w:rsid w:val="008768CC"/>
    <w:pPr>
      <w:spacing w:after="160" w:line="240" w:lineRule="exact"/>
      <w:ind w:firstLineChars="0" w:firstLine="0"/>
      <w:jc w:val="left"/>
    </w:pPr>
    <w:rPr>
      <w:rFonts w:ascii="Times New Roman" w:hAnsi="Times New Roman"/>
      <w:szCs w:val="24"/>
    </w:rPr>
  </w:style>
  <w:style w:type="paragraph" w:customStyle="1" w:styleId="Char20">
    <w:name w:val="Char2"/>
    <w:basedOn w:val="a"/>
    <w:qFormat/>
    <w:rsid w:val="008768CC"/>
    <w:pPr>
      <w:widowControl w:val="0"/>
      <w:spacing w:line="240" w:lineRule="auto"/>
      <w:ind w:firstLineChars="0" w:firstLine="0"/>
    </w:pPr>
    <w:rPr>
      <w:rFonts w:ascii="Tahoma" w:eastAsia="宋体" w:hAnsi="Tahoma" w:cs="Tahoma"/>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8768CC"/>
    <w:pPr>
      <w:widowControl w:val="0"/>
      <w:spacing w:line="240" w:lineRule="auto"/>
      <w:ind w:firstLineChars="0" w:firstLine="0"/>
    </w:pPr>
    <w:rPr>
      <w:rFonts w:ascii="Times New Roman" w:eastAsia="宋体" w:hAnsi="Times New Roman"/>
      <w:sz w:val="21"/>
      <w:szCs w:val="21"/>
    </w:rPr>
  </w:style>
  <w:style w:type="paragraph" w:customStyle="1" w:styleId="CharCharCharCharCharCharCharCharCharCharCharCharChar1">
    <w:name w:val="Char Char Char Char Char Char Char Char Char Char Char Char Char1"/>
    <w:basedOn w:val="a"/>
    <w:qFormat/>
    <w:rsid w:val="008768CC"/>
    <w:pPr>
      <w:widowControl w:val="0"/>
      <w:spacing w:line="240" w:lineRule="auto"/>
      <w:ind w:firstLineChars="0" w:firstLine="0"/>
    </w:pPr>
    <w:rPr>
      <w:rFonts w:ascii="Times New Roman" w:eastAsia="宋体" w:hAnsi="Times New Roman"/>
      <w:sz w:val="21"/>
      <w:szCs w:val="21"/>
    </w:rPr>
  </w:style>
  <w:style w:type="paragraph" w:customStyle="1" w:styleId="Normal">
    <w:name w:val="[Normal]"/>
    <w:qFormat/>
    <w:rsid w:val="008768CC"/>
    <w:rPr>
      <w:rFonts w:ascii="宋体" w:eastAsia="宋体" w:hAnsi="宋体" w:cs="宋体"/>
      <w:kern w:val="0"/>
      <w:sz w:val="24"/>
      <w:szCs w:val="24"/>
      <w:lang w:eastAsia="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768CC"/>
    <w:pPr>
      <w:widowControl w:val="0"/>
      <w:spacing w:line="240" w:lineRule="auto"/>
      <w:ind w:firstLineChars="0" w:firstLine="0"/>
    </w:pPr>
    <w:rPr>
      <w:rFonts w:ascii="Times New Roman" w:eastAsia="宋体" w:hAnsi="Times New Roman"/>
      <w:sz w:val="21"/>
      <w:szCs w:val="24"/>
    </w:rPr>
  </w:style>
  <w:style w:type="paragraph" w:customStyle="1" w:styleId="p0">
    <w:name w:val="p0"/>
    <w:basedOn w:val="a"/>
    <w:qFormat/>
    <w:rsid w:val="008768CC"/>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CharCharChar">
    <w:name w:val="Char Char Char"/>
    <w:basedOn w:val="a"/>
    <w:qFormat/>
    <w:rsid w:val="008768CC"/>
    <w:pPr>
      <w:widowControl w:val="0"/>
      <w:snapToGrid w:val="0"/>
      <w:spacing w:line="240" w:lineRule="auto"/>
      <w:ind w:firstLineChars="0" w:firstLine="0"/>
    </w:pPr>
    <w:rPr>
      <w:rFonts w:hAnsi="Times New Roman"/>
      <w:kern w:val="0"/>
    </w:rPr>
  </w:style>
  <w:style w:type="paragraph" w:customStyle="1" w:styleId="CharCharCharCharCharCharChar">
    <w:name w:val="Char Char Char Char Char Char Char"/>
    <w:basedOn w:val="a"/>
    <w:qFormat/>
    <w:rsid w:val="008768CC"/>
    <w:pPr>
      <w:widowControl w:val="0"/>
      <w:spacing w:line="240" w:lineRule="auto"/>
      <w:ind w:firstLineChars="0" w:firstLine="0"/>
    </w:pPr>
    <w:rPr>
      <w:rFonts w:ascii="Times New Roman" w:eastAsia="宋体" w:hAnsi="Times New Roman"/>
      <w:sz w:val="21"/>
      <w:szCs w:val="21"/>
    </w:rPr>
  </w:style>
  <w:style w:type="paragraph" w:customStyle="1" w:styleId="CharCharCharChar1">
    <w:name w:val="Char Char Char Char1"/>
    <w:basedOn w:val="a"/>
    <w:qFormat/>
    <w:rsid w:val="008768CC"/>
    <w:pPr>
      <w:widowControl w:val="0"/>
      <w:spacing w:line="240" w:lineRule="auto"/>
      <w:ind w:firstLineChars="0" w:firstLine="0"/>
    </w:pPr>
    <w:rPr>
      <w:rFonts w:ascii="Times New Roman" w:eastAsia="宋体" w:hAnsi="Times New Roman"/>
      <w:sz w:val="21"/>
      <w:szCs w:val="21"/>
    </w:rPr>
  </w:style>
  <w:style w:type="paragraph" w:customStyle="1" w:styleId="afff0">
    <w:name w:val="公文"/>
    <w:basedOn w:val="a"/>
    <w:qFormat/>
    <w:rsid w:val="008768CC"/>
    <w:pPr>
      <w:widowControl w:val="0"/>
      <w:spacing w:line="520" w:lineRule="exact"/>
      <w:ind w:firstLineChars="0" w:firstLine="0"/>
    </w:pPr>
    <w:rPr>
      <w:rFonts w:ascii="宋体" w:eastAsia="宋体" w:hAnsi="宋体" w:cs="宋体"/>
      <w:b/>
      <w:bCs/>
      <w:sz w:val="28"/>
      <w:szCs w:val="28"/>
    </w:rPr>
  </w:style>
  <w:style w:type="paragraph" w:customStyle="1" w:styleId="KWNormal">
    <w:name w:val="K&amp;W Normal"/>
    <w:qFormat/>
    <w:rsid w:val="008768CC"/>
    <w:pPr>
      <w:spacing w:after="360" w:line="320" w:lineRule="atLeast"/>
      <w:jc w:val="both"/>
    </w:pPr>
    <w:rPr>
      <w:rFonts w:ascii="Arial" w:eastAsia="楷体_GB2312" w:hAnsi="Arial" w:cs="Arial"/>
      <w:color w:val="000000"/>
      <w:kern w:val="0"/>
      <w:sz w:val="24"/>
      <w:szCs w:val="24"/>
      <w:lang w:eastAsia="en-US"/>
    </w:rPr>
  </w:style>
  <w:style w:type="paragraph" w:customStyle="1" w:styleId="CharCharCharCharCharCharCharCharCharCharCharCharChar">
    <w:name w:val="Char Char Char Char Char Char Char Char Char Char Char Char Char"/>
    <w:basedOn w:val="a"/>
    <w:qFormat/>
    <w:rsid w:val="008768CC"/>
    <w:pPr>
      <w:widowControl w:val="0"/>
      <w:spacing w:line="240" w:lineRule="auto"/>
      <w:ind w:firstLineChars="0" w:firstLine="0"/>
    </w:pPr>
    <w:rPr>
      <w:rFonts w:ascii="Times New Roman" w:eastAsia="宋体" w:hAnsi="Times New Roman"/>
      <w:sz w:val="21"/>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8768CC"/>
    <w:pPr>
      <w:widowControl w:val="0"/>
      <w:tabs>
        <w:tab w:val="left" w:pos="360"/>
      </w:tabs>
      <w:spacing w:line="240" w:lineRule="auto"/>
      <w:ind w:firstLine="200"/>
    </w:pPr>
    <w:rPr>
      <w:rFonts w:ascii="Times New Roman" w:hAnsi="Times New Roman"/>
      <w:sz w:val="24"/>
    </w:rPr>
  </w:style>
  <w:style w:type="paragraph" w:customStyle="1" w:styleId="afff1">
    <w:name w:val="正文 软件"/>
    <w:basedOn w:val="af5"/>
    <w:qFormat/>
    <w:rsid w:val="008768CC"/>
    <w:pPr>
      <w:tabs>
        <w:tab w:val="left" w:pos="590"/>
      </w:tabs>
      <w:spacing w:beforeLines="50" w:afterLines="50" w:line="360" w:lineRule="auto"/>
      <w:ind w:leftChars="1" w:left="2" w:firstLineChars="200" w:firstLine="640"/>
    </w:pPr>
    <w:rPr>
      <w:rFonts w:ascii="仿宋_GB2312" w:eastAsia="仿宋_GB2312" w:cs="宋体" w:hint="eastAsia"/>
      <w:sz w:val="32"/>
      <w:szCs w:val="32"/>
    </w:rPr>
  </w:style>
  <w:style w:type="paragraph" w:customStyle="1" w:styleId="14">
    <w:name w:val="列出段落1"/>
    <w:basedOn w:val="a"/>
    <w:uiPriority w:val="99"/>
    <w:qFormat/>
    <w:rsid w:val="008768CC"/>
    <w:pPr>
      <w:widowControl w:val="0"/>
      <w:spacing w:line="240" w:lineRule="auto"/>
      <w:ind w:firstLine="420"/>
    </w:pPr>
    <w:rPr>
      <w:rFonts w:ascii="Calibri" w:eastAsia="宋体" w:hAnsi="Calibri" w:cs="Calibri"/>
      <w:sz w:val="21"/>
      <w:szCs w:val="21"/>
    </w:rPr>
  </w:style>
  <w:style w:type="paragraph" w:customStyle="1" w:styleId="29">
    <w:name w:val="日期2"/>
    <w:basedOn w:val="a"/>
    <w:next w:val="a"/>
    <w:qFormat/>
    <w:rsid w:val="008768CC"/>
    <w:pPr>
      <w:widowControl w:val="0"/>
      <w:autoSpaceDE w:val="0"/>
      <w:autoSpaceDN w:val="0"/>
      <w:adjustRightInd w:val="0"/>
      <w:spacing w:line="240" w:lineRule="auto"/>
      <w:ind w:firstLineChars="0" w:firstLine="0"/>
    </w:pPr>
    <w:rPr>
      <w:rFonts w:ascii="宋体" w:eastAsia="宋体" w:hAnsi="宋体"/>
      <w:sz w:val="30"/>
      <w:szCs w:val="20"/>
    </w:rPr>
  </w:style>
  <w:style w:type="paragraph" w:customStyle="1" w:styleId="Char1CharCharCharCharCharCharCharCharChar">
    <w:name w:val="Char1 Char Char Char Char Char Char Char Char Char"/>
    <w:basedOn w:val="a"/>
    <w:qFormat/>
    <w:rsid w:val="008768CC"/>
    <w:pPr>
      <w:spacing w:after="160" w:line="240" w:lineRule="exact"/>
      <w:ind w:firstLineChars="0" w:firstLine="0"/>
      <w:jc w:val="left"/>
    </w:pPr>
    <w:rPr>
      <w:rFonts w:ascii="Verdana" w:eastAsia="宋体" w:hAnsi="Verdana" w:cs="Verdana"/>
      <w:kern w:val="0"/>
      <w:sz w:val="20"/>
      <w:szCs w:val="20"/>
      <w:lang w:eastAsia="en-US"/>
    </w:rPr>
  </w:style>
  <w:style w:type="paragraph" w:customStyle="1" w:styleId="reader-word-layerreader-word-s1-4">
    <w:name w:val="reader-word-layer reader-word-s1-4"/>
    <w:basedOn w:val="a"/>
    <w:qFormat/>
    <w:rsid w:val="008768CC"/>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msonormalcxspmiddle">
    <w:name w:val="msonormalcxspmiddle"/>
    <w:basedOn w:val="a"/>
    <w:qFormat/>
    <w:rsid w:val="008768CC"/>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reader-word-layerreader-word-s5-7">
    <w:name w:val="reader-word-layer reader-word-s5-7"/>
    <w:basedOn w:val="a"/>
    <w:qFormat/>
    <w:rsid w:val="008768CC"/>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KWheading5">
    <w:name w:val="K&amp;W heading 5"/>
    <w:basedOn w:val="a"/>
    <w:qFormat/>
    <w:rsid w:val="008768CC"/>
    <w:pPr>
      <w:tabs>
        <w:tab w:val="left" w:pos="1701"/>
      </w:tabs>
      <w:spacing w:after="360" w:line="320" w:lineRule="exact"/>
      <w:ind w:left="1701" w:firstLineChars="0" w:hanging="567"/>
      <w:outlineLvl w:val="4"/>
    </w:pPr>
    <w:rPr>
      <w:rFonts w:ascii="Arial" w:eastAsia="楷体_GB2312" w:hAnsi="Arial"/>
      <w:kern w:val="0"/>
      <w:sz w:val="24"/>
      <w:szCs w:val="20"/>
      <w:lang w:eastAsia="en-US"/>
    </w:rPr>
  </w:style>
  <w:style w:type="paragraph" w:customStyle="1" w:styleId="CharChar">
    <w:name w:val="正文 Char Char"/>
    <w:basedOn w:val="a"/>
    <w:qFormat/>
    <w:rsid w:val="008768CC"/>
    <w:pPr>
      <w:spacing w:line="240" w:lineRule="auto"/>
      <w:ind w:firstLineChars="0" w:firstLine="0"/>
    </w:pPr>
    <w:rPr>
      <w:rFonts w:ascii="Times New Roman" w:eastAsia="Times New Roman" w:hAnsi="Times New Roman"/>
      <w:kern w:val="0"/>
      <w:szCs w:val="20"/>
      <w:lang w:eastAsia="en-US"/>
    </w:rPr>
  </w:style>
  <w:style w:type="paragraph" w:customStyle="1" w:styleId="2a">
    <w:name w:val="列出段落2"/>
    <w:basedOn w:val="a"/>
    <w:qFormat/>
    <w:rsid w:val="008768CC"/>
    <w:pPr>
      <w:widowControl w:val="0"/>
      <w:spacing w:line="240" w:lineRule="auto"/>
      <w:ind w:firstLine="420"/>
    </w:pPr>
    <w:rPr>
      <w:rFonts w:ascii="Times New Roman" w:eastAsia="宋体" w:hAnsi="Times New Roman"/>
      <w:sz w:val="21"/>
      <w:szCs w:val="24"/>
    </w:rPr>
  </w:style>
  <w:style w:type="paragraph" w:customStyle="1" w:styleId="KWheading4">
    <w:name w:val="K&amp;W heading 4"/>
    <w:basedOn w:val="a"/>
    <w:qFormat/>
    <w:rsid w:val="008768CC"/>
    <w:pPr>
      <w:tabs>
        <w:tab w:val="left" w:pos="1134"/>
      </w:tabs>
      <w:spacing w:after="360" w:line="320" w:lineRule="exact"/>
      <w:ind w:left="1134" w:firstLineChars="0" w:hanging="567"/>
      <w:outlineLvl w:val="3"/>
    </w:pPr>
    <w:rPr>
      <w:rFonts w:ascii="Arial" w:eastAsia="楷体_GB2312" w:hAnsi="Arial"/>
      <w:kern w:val="0"/>
      <w:sz w:val="24"/>
      <w:szCs w:val="20"/>
      <w:lang w:eastAsia="en-US"/>
    </w:rPr>
  </w:style>
  <w:style w:type="paragraph" w:customStyle="1" w:styleId="15">
    <w:name w:val="1"/>
    <w:basedOn w:val="a"/>
    <w:qFormat/>
    <w:rsid w:val="008768CC"/>
    <w:pPr>
      <w:widowControl w:val="0"/>
      <w:spacing w:line="240" w:lineRule="auto"/>
      <w:ind w:firstLineChars="0" w:firstLine="0"/>
    </w:pPr>
    <w:rPr>
      <w:rFonts w:ascii="Times New Roman" w:eastAsia="宋体" w:hAnsi="Times New Roman"/>
      <w:sz w:val="21"/>
      <w:szCs w:val="24"/>
    </w:rPr>
  </w:style>
  <w:style w:type="paragraph" w:customStyle="1" w:styleId="CharCharChar1">
    <w:name w:val="Char Char Char1"/>
    <w:basedOn w:val="a"/>
    <w:qFormat/>
    <w:rsid w:val="008768CC"/>
    <w:pPr>
      <w:widowControl w:val="0"/>
      <w:snapToGrid w:val="0"/>
      <w:spacing w:line="240" w:lineRule="auto"/>
      <w:ind w:firstLineChars="0" w:firstLine="0"/>
    </w:pPr>
    <w:rPr>
      <w:rFonts w:hAnsi="Times New Roman" w:cs="仿宋_GB2312"/>
      <w:kern w:val="0"/>
    </w:rPr>
  </w:style>
  <w:style w:type="character" w:customStyle="1" w:styleId="KWheading2Char">
    <w:name w:val="K&amp;W heading 2 Char"/>
    <w:link w:val="KWheading2"/>
    <w:qFormat/>
    <w:locked/>
    <w:rsid w:val="008768CC"/>
    <w:rPr>
      <w:rFonts w:ascii="Arial" w:eastAsia="楷体_GB2312" w:hAnsi="Arial" w:cs="Arial"/>
      <w:sz w:val="24"/>
      <w:lang w:eastAsia="en-US"/>
    </w:rPr>
  </w:style>
  <w:style w:type="paragraph" w:customStyle="1" w:styleId="KWheading2">
    <w:name w:val="K&amp;W heading 2"/>
    <w:basedOn w:val="a"/>
    <w:next w:val="a"/>
    <w:link w:val="KWheading2Char"/>
    <w:qFormat/>
    <w:rsid w:val="008768CC"/>
    <w:pPr>
      <w:keepNext/>
      <w:widowControl w:val="0"/>
      <w:tabs>
        <w:tab w:val="left" w:pos="567"/>
      </w:tabs>
      <w:spacing w:after="360" w:line="320" w:lineRule="exact"/>
      <w:ind w:left="567" w:firstLineChars="0" w:hanging="567"/>
      <w:outlineLvl w:val="1"/>
    </w:pPr>
    <w:rPr>
      <w:rFonts w:ascii="Arial" w:eastAsia="楷体_GB2312" w:hAnsi="Arial" w:cs="Arial"/>
      <w:sz w:val="24"/>
      <w:szCs w:val="22"/>
      <w:lang w:eastAsia="en-US"/>
    </w:rPr>
  </w:style>
  <w:style w:type="paragraph" w:customStyle="1" w:styleId="KWheading3">
    <w:name w:val="K&amp;W heading 3"/>
    <w:basedOn w:val="a"/>
    <w:qFormat/>
    <w:rsid w:val="008768CC"/>
    <w:pPr>
      <w:tabs>
        <w:tab w:val="left" w:pos="567"/>
      </w:tabs>
      <w:spacing w:after="360" w:line="320" w:lineRule="exact"/>
      <w:ind w:left="567" w:firstLineChars="0" w:hanging="567"/>
      <w:outlineLvl w:val="2"/>
    </w:pPr>
    <w:rPr>
      <w:rFonts w:ascii="Arial" w:eastAsia="楷体_GB2312" w:hAnsi="Arial"/>
      <w:kern w:val="0"/>
      <w:sz w:val="24"/>
      <w:szCs w:val="20"/>
      <w:lang w:eastAsia="en-US"/>
    </w:rPr>
  </w:style>
  <w:style w:type="paragraph" w:customStyle="1" w:styleId="afff2">
    <w:name w:val="标题一"/>
    <w:basedOn w:val="1"/>
    <w:next w:val="KWBodytext"/>
    <w:qFormat/>
    <w:rsid w:val="008768CC"/>
    <w:pPr>
      <w:widowControl w:val="0"/>
      <w:tabs>
        <w:tab w:val="left" w:pos="567"/>
      </w:tabs>
      <w:spacing w:beforeLines="50" w:before="0" w:after="0" w:line="500" w:lineRule="exact"/>
      <w:ind w:firstLineChars="0" w:firstLine="0"/>
      <w:jc w:val="center"/>
    </w:pPr>
    <w:rPr>
      <w:rFonts w:ascii="创艺简标宋" w:eastAsia="创艺简标宋" w:hAnsiTheme="majorEastAsia"/>
      <w:spacing w:val="-2"/>
      <w:kern w:val="0"/>
      <w:szCs w:val="36"/>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a"/>
    <w:qFormat/>
    <w:rsid w:val="008768CC"/>
    <w:pPr>
      <w:widowControl w:val="0"/>
      <w:tabs>
        <w:tab w:val="left" w:pos="360"/>
      </w:tabs>
      <w:spacing w:line="240" w:lineRule="auto"/>
      <w:ind w:left="360" w:firstLineChars="0" w:hanging="360"/>
    </w:pPr>
    <w:rPr>
      <w:rFonts w:ascii="Times New Roman" w:hAnsi="Times New Roman"/>
      <w:sz w:val="24"/>
    </w:rPr>
  </w:style>
  <w:style w:type="character" w:customStyle="1" w:styleId="txtcontent11">
    <w:name w:val="txtcontent11"/>
    <w:uiPriority w:val="99"/>
    <w:qFormat/>
    <w:rsid w:val="008768CC"/>
    <w:rPr>
      <w:rFonts w:ascii="??" w:hAnsi="??" w:hint="default"/>
      <w:color w:val="000000"/>
      <w:sz w:val="21"/>
    </w:rPr>
  </w:style>
  <w:style w:type="character" w:customStyle="1" w:styleId="font01">
    <w:name w:val="font01"/>
    <w:qFormat/>
    <w:rsid w:val="008768CC"/>
    <w:rPr>
      <w:rFonts w:ascii="Tahoma" w:hAnsi="Tahoma" w:cs="Tahoma" w:hint="default"/>
      <w:color w:val="000000"/>
      <w:sz w:val="18"/>
      <w:szCs w:val="18"/>
      <w:u w:val="none"/>
    </w:rPr>
  </w:style>
  <w:style w:type="character" w:customStyle="1" w:styleId="CharChar2">
    <w:name w:val="Char Char2"/>
    <w:qFormat/>
    <w:rsid w:val="008768CC"/>
    <w:rPr>
      <w:rFonts w:ascii="Courier New" w:eastAsia="宋体" w:hAnsi="Courier New" w:cs="Courier New" w:hint="default"/>
      <w:kern w:val="2"/>
      <w:sz w:val="24"/>
      <w:lang w:val="en-US" w:eastAsia="zh-CN" w:bidi="ar-SA"/>
    </w:rPr>
  </w:style>
  <w:style w:type="character" w:customStyle="1" w:styleId="CharChar0">
    <w:name w:val="Char Char"/>
    <w:qFormat/>
    <w:rsid w:val="008768CC"/>
    <w:rPr>
      <w:kern w:val="2"/>
      <w:sz w:val="21"/>
      <w:szCs w:val="24"/>
      <w:shd w:val="clear" w:color="auto" w:fill="000080"/>
    </w:rPr>
  </w:style>
  <w:style w:type="character" w:customStyle="1" w:styleId="BalloonTextChar">
    <w:name w:val="Balloon Text Char"/>
    <w:qFormat/>
    <w:locked/>
    <w:rsid w:val="008768CC"/>
    <w:rPr>
      <w:rFonts w:ascii="Times New Roman" w:hAnsi="Times New Roman" w:cs="Times New Roman" w:hint="default"/>
      <w:sz w:val="18"/>
      <w:szCs w:val="18"/>
    </w:rPr>
  </w:style>
  <w:style w:type="character" w:customStyle="1" w:styleId="CharChar10">
    <w:name w:val="普通文字 Char Char1"/>
    <w:qFormat/>
    <w:locked/>
    <w:rsid w:val="008768CC"/>
    <w:rPr>
      <w:rFonts w:ascii="Courier New" w:eastAsia="宋体" w:hAnsi="Courier New" w:cs="Courier New" w:hint="default"/>
      <w:kern w:val="2"/>
      <w:sz w:val="24"/>
      <w:szCs w:val="24"/>
      <w:lang w:val="en-US" w:eastAsia="zh-CN"/>
    </w:rPr>
  </w:style>
  <w:style w:type="character" w:customStyle="1" w:styleId="CharChar5">
    <w:name w:val="普通文字 Char Char"/>
    <w:qFormat/>
    <w:rsid w:val="008768CC"/>
    <w:rPr>
      <w:rFonts w:ascii="Courier New" w:eastAsia="宋体" w:hAnsi="Courier New" w:cs="Courier New" w:hint="default"/>
      <w:kern w:val="2"/>
      <w:sz w:val="24"/>
      <w:szCs w:val="24"/>
      <w:lang w:val="en-US" w:eastAsia="zh-CN"/>
    </w:rPr>
  </w:style>
  <w:style w:type="character" w:customStyle="1" w:styleId="font21">
    <w:name w:val="font21"/>
    <w:qFormat/>
    <w:rsid w:val="008768CC"/>
    <w:rPr>
      <w:rFonts w:ascii="宋体" w:eastAsia="宋体" w:hAnsi="宋体" w:cs="宋体" w:hint="eastAsia"/>
      <w:color w:val="000000"/>
      <w:sz w:val="18"/>
      <w:szCs w:val="18"/>
      <w:u w:val="none"/>
    </w:rPr>
  </w:style>
  <w:style w:type="character" w:customStyle="1" w:styleId="Char14">
    <w:name w:val="文档结构图 Char1"/>
    <w:qFormat/>
    <w:rsid w:val="008768CC"/>
    <w:rPr>
      <w:rFonts w:ascii="宋体" w:eastAsia="宋体" w:hAnsi="宋体" w:hint="eastAsia"/>
      <w:kern w:val="2"/>
      <w:sz w:val="18"/>
      <w:szCs w:val="18"/>
    </w:rPr>
  </w:style>
  <w:style w:type="character" w:customStyle="1" w:styleId="Char15">
    <w:name w:val="批注主题 Char1"/>
    <w:qFormat/>
    <w:rsid w:val="008768CC"/>
    <w:rPr>
      <w:b/>
      <w:bCs/>
      <w:kern w:val="2"/>
      <w:sz w:val="21"/>
      <w:szCs w:val="24"/>
    </w:rPr>
  </w:style>
  <w:style w:type="character" w:customStyle="1" w:styleId="Char16">
    <w:name w:val="正文文本 Char1"/>
    <w:qFormat/>
    <w:rsid w:val="008768CC"/>
    <w:rPr>
      <w:kern w:val="2"/>
      <w:sz w:val="21"/>
      <w:szCs w:val="22"/>
    </w:rPr>
  </w:style>
  <w:style w:type="character" w:customStyle="1" w:styleId="articlef141">
    <w:name w:val="article_f141"/>
    <w:qFormat/>
    <w:rsid w:val="008768CC"/>
    <w:rPr>
      <w:color w:val="000000"/>
      <w:sz w:val="21"/>
      <w:szCs w:val="21"/>
    </w:rPr>
  </w:style>
  <w:style w:type="character" w:customStyle="1" w:styleId="Char17">
    <w:name w:val="副标题 Char1"/>
    <w:uiPriority w:val="11"/>
    <w:qFormat/>
    <w:rsid w:val="008768CC"/>
    <w:rPr>
      <w:rFonts w:ascii="Cambria" w:hAnsi="Cambria" w:cs="Times New Roman" w:hint="default"/>
      <w:b/>
      <w:bCs/>
      <w:kern w:val="28"/>
      <w:sz w:val="32"/>
      <w:szCs w:val="32"/>
    </w:rPr>
  </w:style>
  <w:style w:type="paragraph" w:customStyle="1" w:styleId="16">
    <w:name w:val="正文1"/>
    <w:qFormat/>
    <w:rsid w:val="008768CC"/>
    <w:pPr>
      <w:jc w:val="both"/>
    </w:pPr>
    <w:rPr>
      <w:rFonts w:ascii="Calibri" w:eastAsia="宋体" w:hAnsi="Calibri" w:cs="宋体"/>
      <w:szCs w:val="21"/>
    </w:rPr>
  </w:style>
  <w:style w:type="paragraph" w:customStyle="1" w:styleId="TOC2">
    <w:name w:val="TOC2"/>
    <w:basedOn w:val="a"/>
    <w:next w:val="a"/>
    <w:qFormat/>
    <w:rsid w:val="008768CC"/>
    <w:pPr>
      <w:spacing w:line="240" w:lineRule="auto"/>
      <w:ind w:leftChars="200" w:left="420" w:firstLineChars="0" w:firstLine="0"/>
      <w:textAlignment w:val="baseline"/>
    </w:pPr>
    <w:rPr>
      <w:rFonts w:ascii="Times New Roman" w:eastAsia="宋体" w:hAnsi="Times New Roman"/>
      <w:sz w:val="21"/>
      <w:szCs w:val="24"/>
    </w:rPr>
  </w:style>
  <w:style w:type="character" w:customStyle="1" w:styleId="NormalCharacter">
    <w:name w:val="NormalCharacter"/>
    <w:qFormat/>
    <w:rsid w:val="008768CC"/>
  </w:style>
  <w:style w:type="paragraph" w:customStyle="1" w:styleId="CharCharCharCharCharCharCharCharCharCharCharCharCharCharCharCharCharChar">
    <w:name w:val="Char Char Char Char Char Char Char Char Char Char Char Char Char Char Char Char Char Char"/>
    <w:basedOn w:val="a"/>
    <w:qFormat/>
    <w:rsid w:val="008768CC"/>
    <w:pPr>
      <w:widowControl w:val="0"/>
      <w:tabs>
        <w:tab w:val="left" w:pos="360"/>
      </w:tabs>
      <w:spacing w:line="240" w:lineRule="auto"/>
      <w:ind w:firstLineChars="0" w:firstLine="0"/>
    </w:pPr>
    <w:rPr>
      <w:rFonts w:ascii="Times New Roman" w:eastAsia="宋体" w:hAnsi="Times New Roman"/>
      <w:sz w:val="24"/>
      <w:szCs w:val="24"/>
    </w:rPr>
  </w:style>
  <w:style w:type="paragraph" w:customStyle="1" w:styleId="38">
    <w:name w:val="列出段落3"/>
    <w:basedOn w:val="a"/>
    <w:qFormat/>
    <w:rsid w:val="008768CC"/>
    <w:pPr>
      <w:widowControl w:val="0"/>
      <w:spacing w:line="240" w:lineRule="auto"/>
      <w:ind w:firstLine="420"/>
    </w:pPr>
    <w:rPr>
      <w:rFonts w:ascii="Calibri" w:eastAsia="宋体" w:hAnsi="Calibri"/>
      <w:sz w:val="21"/>
      <w:szCs w:val="21"/>
    </w:rPr>
  </w:style>
  <w:style w:type="paragraph" w:customStyle="1" w:styleId="CharCharCharCharCharCharCharCharCharCharCharChar1Char1">
    <w:name w:val="Char Char Char Char Char Char Char Char Char Char Char Char1 Char1"/>
    <w:basedOn w:val="a"/>
    <w:qFormat/>
    <w:rsid w:val="008768CC"/>
    <w:pPr>
      <w:widowControl w:val="0"/>
      <w:spacing w:line="240" w:lineRule="auto"/>
      <w:ind w:firstLineChars="0" w:firstLine="0"/>
    </w:pPr>
    <w:rPr>
      <w:rFonts w:ascii="Times New Roman" w:eastAsia="宋体" w:hAnsi="Times New Roman"/>
      <w:sz w:val="21"/>
      <w:szCs w:val="24"/>
    </w:rPr>
  </w:style>
  <w:style w:type="paragraph" w:customStyle="1" w:styleId="CharCharCharCharCharChar1Char1">
    <w:name w:val="Char Char Char Char Char Char1 Char1"/>
    <w:basedOn w:val="a"/>
    <w:qFormat/>
    <w:rsid w:val="008768CC"/>
    <w:pPr>
      <w:spacing w:after="160" w:line="240" w:lineRule="exact"/>
      <w:ind w:firstLineChars="0" w:firstLine="0"/>
      <w:jc w:val="left"/>
    </w:pPr>
    <w:rPr>
      <w:rFonts w:ascii="Times New Roman" w:hAnsi="Times New Roman"/>
      <w:szCs w:val="24"/>
    </w:rPr>
  </w:style>
  <w:style w:type="paragraph" w:customStyle="1" w:styleId="Char110">
    <w:name w:val="Char11"/>
    <w:basedOn w:val="a"/>
    <w:qFormat/>
    <w:rsid w:val="008768CC"/>
    <w:pPr>
      <w:widowControl w:val="0"/>
      <w:spacing w:line="240" w:lineRule="auto"/>
      <w:ind w:firstLineChars="0" w:firstLine="0"/>
    </w:pPr>
    <w:rPr>
      <w:rFonts w:ascii="Times New Roman" w:eastAsia="宋体" w:hAnsi="Times New Roman"/>
      <w:sz w:val="21"/>
      <w:szCs w:val="24"/>
    </w:rPr>
  </w:style>
  <w:style w:type="paragraph" w:customStyle="1" w:styleId="Char120">
    <w:name w:val="Char12"/>
    <w:basedOn w:val="a"/>
    <w:qFormat/>
    <w:rsid w:val="008768CC"/>
    <w:pPr>
      <w:widowControl w:val="0"/>
      <w:spacing w:line="240" w:lineRule="auto"/>
      <w:ind w:firstLineChars="0" w:firstLine="0"/>
    </w:pPr>
    <w:rPr>
      <w:rFonts w:ascii="Tahoma" w:hAnsi="Tahoma" w:cs="宋体"/>
      <w:sz w:val="24"/>
      <w:szCs w:val="20"/>
    </w:rPr>
  </w:style>
  <w:style w:type="paragraph" w:customStyle="1" w:styleId="TOC1">
    <w:name w:val="TOC 标题1"/>
    <w:basedOn w:val="1"/>
    <w:next w:val="a"/>
    <w:uiPriority w:val="39"/>
    <w:semiHidden/>
    <w:unhideWhenUsed/>
    <w:qFormat/>
    <w:rsid w:val="008768CC"/>
    <w:pPr>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7">
    <w:name w:val="修订1"/>
    <w:hidden/>
    <w:uiPriority w:val="99"/>
    <w:semiHidden/>
    <w:qFormat/>
    <w:rsid w:val="008768CC"/>
    <w:rPr>
      <w:rFonts w:ascii="Times New Roman" w:eastAsia="宋体" w:hAnsi="Times New Roman" w:cs="Times New Roman"/>
      <w:szCs w:val="21"/>
    </w:rPr>
  </w:style>
  <w:style w:type="character" w:customStyle="1" w:styleId="HTMLChar1">
    <w:name w:val="HTML 预设格式 Char1"/>
    <w:basedOn w:val="a0"/>
    <w:uiPriority w:val="99"/>
    <w:semiHidden/>
    <w:qFormat/>
    <w:rsid w:val="008768CC"/>
    <w:rPr>
      <w:rFonts w:ascii="Courier New" w:eastAsia="宋体" w:hAnsi="Courier New" w:cs="Courier New"/>
      <w:sz w:val="20"/>
      <w:szCs w:val="20"/>
    </w:rPr>
  </w:style>
  <w:style w:type="character" w:customStyle="1" w:styleId="CharChar6">
    <w:name w:val="Char Char6"/>
    <w:semiHidden/>
    <w:qFormat/>
    <w:locked/>
    <w:rsid w:val="008768CC"/>
    <w:rPr>
      <w:rFonts w:eastAsia="宋体"/>
      <w:kern w:val="2"/>
      <w:sz w:val="18"/>
      <w:szCs w:val="18"/>
      <w:lang w:val="en-US" w:eastAsia="zh-CN" w:bidi="ar-SA"/>
    </w:rPr>
  </w:style>
  <w:style w:type="character" w:customStyle="1" w:styleId="CharChar50">
    <w:name w:val="Char Char5"/>
    <w:semiHidden/>
    <w:qFormat/>
    <w:locked/>
    <w:rsid w:val="008768CC"/>
    <w:rPr>
      <w:rFonts w:eastAsia="宋体"/>
      <w:kern w:val="2"/>
      <w:sz w:val="18"/>
      <w:szCs w:val="18"/>
      <w:lang w:val="en-US" w:eastAsia="zh-CN" w:bidi="ar-SA"/>
    </w:rPr>
  </w:style>
  <w:style w:type="character" w:customStyle="1" w:styleId="CharChar7">
    <w:name w:val="Char Char7"/>
    <w:semiHidden/>
    <w:qFormat/>
    <w:locked/>
    <w:rsid w:val="008768CC"/>
    <w:rPr>
      <w:rFonts w:eastAsia="宋体"/>
      <w:kern w:val="2"/>
      <w:sz w:val="21"/>
      <w:szCs w:val="21"/>
      <w:lang w:val="en-US" w:eastAsia="zh-CN" w:bidi="ar-SA"/>
    </w:rPr>
  </w:style>
  <w:style w:type="character" w:customStyle="1" w:styleId="Char18">
    <w:name w:val="宏文本 Char1"/>
    <w:basedOn w:val="a0"/>
    <w:uiPriority w:val="99"/>
    <w:semiHidden/>
    <w:qFormat/>
    <w:rsid w:val="008768CC"/>
    <w:rPr>
      <w:rFonts w:ascii="Courier New" w:eastAsia="宋体" w:hAnsi="Courier New" w:cs="Courier New"/>
      <w:sz w:val="24"/>
      <w:szCs w:val="24"/>
    </w:rPr>
  </w:style>
  <w:style w:type="character" w:customStyle="1" w:styleId="Char19">
    <w:name w:val="称呼 Char1"/>
    <w:basedOn w:val="a0"/>
    <w:uiPriority w:val="99"/>
    <w:semiHidden/>
    <w:qFormat/>
    <w:rsid w:val="008768CC"/>
    <w:rPr>
      <w:rFonts w:ascii="Calibri" w:eastAsia="宋体" w:hAnsi="Calibri" w:cs="Times New Roman"/>
    </w:rPr>
  </w:style>
  <w:style w:type="character" w:customStyle="1" w:styleId="Char1a">
    <w:name w:val="签名 Char1"/>
    <w:basedOn w:val="a0"/>
    <w:uiPriority w:val="99"/>
    <w:semiHidden/>
    <w:qFormat/>
    <w:rsid w:val="008768CC"/>
    <w:rPr>
      <w:rFonts w:ascii="Calibri" w:eastAsia="宋体" w:hAnsi="Calibri" w:cs="Times New Roman"/>
    </w:rPr>
  </w:style>
  <w:style w:type="character" w:customStyle="1" w:styleId="Char1b">
    <w:name w:val="尾注文本 Char1"/>
    <w:basedOn w:val="a0"/>
    <w:uiPriority w:val="99"/>
    <w:semiHidden/>
    <w:qFormat/>
    <w:rsid w:val="008768CC"/>
    <w:rPr>
      <w:rFonts w:ascii="Calibri" w:eastAsia="宋体" w:hAnsi="Calibri" w:cs="Times New Roman"/>
    </w:rPr>
  </w:style>
  <w:style w:type="character" w:customStyle="1" w:styleId="HTMLChar10">
    <w:name w:val="HTML 地址 Char1"/>
    <w:basedOn w:val="a0"/>
    <w:uiPriority w:val="99"/>
    <w:semiHidden/>
    <w:qFormat/>
    <w:rsid w:val="008768CC"/>
    <w:rPr>
      <w:rFonts w:ascii="Calibri" w:eastAsia="宋体" w:hAnsi="Calibri" w:cs="Times New Roman"/>
      <w:i/>
      <w:iCs/>
    </w:rPr>
  </w:style>
  <w:style w:type="character" w:customStyle="1" w:styleId="Char1c">
    <w:name w:val="注释标题 Char1"/>
    <w:basedOn w:val="a0"/>
    <w:uiPriority w:val="99"/>
    <w:semiHidden/>
    <w:qFormat/>
    <w:rsid w:val="008768CC"/>
    <w:rPr>
      <w:rFonts w:ascii="Calibri" w:eastAsia="宋体" w:hAnsi="Calibri" w:cs="Times New Roman"/>
    </w:rPr>
  </w:style>
  <w:style w:type="character" w:customStyle="1" w:styleId="3Char10">
    <w:name w:val="正文文本 3 Char1"/>
    <w:basedOn w:val="a0"/>
    <w:uiPriority w:val="99"/>
    <w:semiHidden/>
    <w:qFormat/>
    <w:rsid w:val="008768CC"/>
    <w:rPr>
      <w:rFonts w:ascii="Calibri" w:eastAsia="宋体" w:hAnsi="Calibri" w:cs="Times New Roman"/>
      <w:sz w:val="16"/>
      <w:szCs w:val="16"/>
    </w:rPr>
  </w:style>
  <w:style w:type="character" w:customStyle="1" w:styleId="Char1d">
    <w:name w:val="电子邮件签名 Char1"/>
    <w:basedOn w:val="a0"/>
    <w:uiPriority w:val="99"/>
    <w:semiHidden/>
    <w:qFormat/>
    <w:rsid w:val="008768CC"/>
    <w:rPr>
      <w:rFonts w:ascii="Calibri" w:eastAsia="宋体" w:hAnsi="Calibri" w:cs="Times New Roman"/>
    </w:rPr>
  </w:style>
  <w:style w:type="character" w:customStyle="1" w:styleId="Char1e">
    <w:name w:val="结束语 Char1"/>
    <w:basedOn w:val="a0"/>
    <w:uiPriority w:val="99"/>
    <w:semiHidden/>
    <w:qFormat/>
    <w:rsid w:val="008768CC"/>
    <w:rPr>
      <w:rFonts w:ascii="Calibri" w:eastAsia="宋体" w:hAnsi="Calibri" w:cs="Times New Roman"/>
    </w:rPr>
  </w:style>
  <w:style w:type="character" w:customStyle="1" w:styleId="Char1f">
    <w:name w:val="脚注文本 Char1"/>
    <w:basedOn w:val="a0"/>
    <w:uiPriority w:val="99"/>
    <w:semiHidden/>
    <w:qFormat/>
    <w:rsid w:val="008768CC"/>
    <w:rPr>
      <w:rFonts w:ascii="Calibri" w:eastAsia="宋体" w:hAnsi="Calibri" w:cs="Times New Roman"/>
      <w:sz w:val="18"/>
      <w:szCs w:val="18"/>
    </w:rPr>
  </w:style>
  <w:style w:type="character" w:customStyle="1" w:styleId="2Char10">
    <w:name w:val="正文文本 2 Char1"/>
    <w:basedOn w:val="a0"/>
    <w:uiPriority w:val="99"/>
    <w:semiHidden/>
    <w:qFormat/>
    <w:rsid w:val="008768CC"/>
    <w:rPr>
      <w:rFonts w:ascii="Calibri" w:eastAsia="宋体" w:hAnsi="Calibri" w:cs="Times New Roman"/>
    </w:rPr>
  </w:style>
  <w:style w:type="character" w:customStyle="1" w:styleId="Char1f0">
    <w:name w:val="信息标题 Char1"/>
    <w:basedOn w:val="a0"/>
    <w:uiPriority w:val="99"/>
    <w:semiHidden/>
    <w:qFormat/>
    <w:rsid w:val="008768CC"/>
    <w:rPr>
      <w:rFonts w:asciiTheme="majorHAnsi" w:eastAsiaTheme="majorEastAsia" w:hAnsiTheme="majorHAnsi" w:cstheme="majorBidi"/>
      <w:sz w:val="24"/>
      <w:szCs w:val="24"/>
      <w:shd w:val="pct20" w:color="auto" w:fill="auto"/>
    </w:rPr>
  </w:style>
  <w:style w:type="character" w:customStyle="1" w:styleId="2Char11">
    <w:name w:val="正文首行缩进 2 Char1"/>
    <w:basedOn w:val="Char7"/>
    <w:uiPriority w:val="99"/>
    <w:semiHidden/>
    <w:qFormat/>
    <w:rsid w:val="008768CC"/>
    <w:rPr>
      <w:rFonts w:ascii="宋体" w:eastAsia="宋体" w:hAnsi="宋体" w:cs="Times New Roman"/>
      <w:kern w:val="2"/>
      <w:sz w:val="32"/>
      <w:szCs w:val="20"/>
    </w:rPr>
  </w:style>
  <w:style w:type="character" w:customStyle="1" w:styleId="Char1f1">
    <w:name w:val="正文首行缩进 Char1"/>
    <w:basedOn w:val="Char16"/>
    <w:uiPriority w:val="99"/>
    <w:semiHidden/>
    <w:qFormat/>
    <w:rsid w:val="008768CC"/>
    <w:rPr>
      <w:rFonts w:ascii="Calibri" w:eastAsia="宋体" w:hAnsi="Calibri" w:cs="Times New Roman"/>
      <w:kern w:val="2"/>
      <w:sz w:val="21"/>
      <w:szCs w:val="22"/>
    </w:rPr>
  </w:style>
  <w:style w:type="table" w:customStyle="1" w:styleId="KWTable">
    <w:name w:val="K&amp;W Table"/>
    <w:basedOn w:val="aff7"/>
    <w:qFormat/>
    <w:rsid w:val="008768CC"/>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paragraph" w:customStyle="1" w:styleId="2b">
    <w:name w:val="修订2"/>
    <w:hidden/>
    <w:uiPriority w:val="99"/>
    <w:semiHidden/>
    <w:qFormat/>
    <w:rsid w:val="008768CC"/>
    <w:rPr>
      <w:rFonts w:ascii="Times New Roman" w:eastAsia="宋体" w:hAnsi="Times New Roman" w:cs="Times New Roman"/>
      <w:szCs w:val="21"/>
    </w:rPr>
  </w:style>
  <w:style w:type="table" w:customStyle="1" w:styleId="18">
    <w:name w:val="网格型1"/>
    <w:basedOn w:val="a1"/>
    <w:qFormat/>
    <w:rsid w:val="008768C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1">
    <w:name w:val="K&amp;W Table1"/>
    <w:basedOn w:val="aff7"/>
    <w:qFormat/>
    <w:rsid w:val="008768CC"/>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2c">
    <w:name w:val="网格型2"/>
    <w:basedOn w:val="a1"/>
    <w:qFormat/>
    <w:rsid w:val="008768C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2">
    <w:name w:val="K&amp;W Table2"/>
    <w:basedOn w:val="aff7"/>
    <w:qFormat/>
    <w:rsid w:val="008768CC"/>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39">
    <w:name w:val="网格型3"/>
    <w:basedOn w:val="a1"/>
    <w:uiPriority w:val="59"/>
    <w:qFormat/>
    <w:rsid w:val="008768C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修订3"/>
    <w:hidden/>
    <w:uiPriority w:val="99"/>
    <w:semiHidden/>
    <w:qFormat/>
    <w:rsid w:val="008768CC"/>
    <w:rPr>
      <w:rFonts w:ascii="Times New Roman" w:eastAsia="宋体" w:hAnsi="Times New Roman" w:cs="Times New Roman"/>
      <w:szCs w:val="21"/>
    </w:rPr>
  </w:style>
  <w:style w:type="table" w:customStyle="1" w:styleId="46">
    <w:name w:val="网格型4"/>
    <w:basedOn w:val="a1"/>
    <w:qFormat/>
    <w:rsid w:val="008768C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768CC"/>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8768CC"/>
    <w:pPr>
      <w:widowControl w:val="0"/>
      <w:spacing w:line="240" w:lineRule="auto"/>
      <w:ind w:firstLineChars="0" w:firstLine="0"/>
      <w:jc w:val="left"/>
    </w:pPr>
    <w:rPr>
      <w:rFonts w:asciiTheme="minorHAnsi" w:eastAsiaTheme="minorEastAsia" w:hAnsiTheme="minorHAnsi" w:cstheme="minorBidi"/>
      <w:kern w:val="0"/>
      <w:sz w:val="22"/>
      <w:szCs w:val="22"/>
      <w:lang w:eastAsia="en-US"/>
    </w:rPr>
  </w:style>
  <w:style w:type="table" w:customStyle="1" w:styleId="56">
    <w:name w:val="网格型5"/>
    <w:basedOn w:val="a1"/>
    <w:qFormat/>
    <w:rsid w:val="008768C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3">
    <w:name w:val="K&amp;W Table3"/>
    <w:basedOn w:val="aff7"/>
    <w:qFormat/>
    <w:rsid w:val="008768CC"/>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110">
    <w:name w:val="网格型11"/>
    <w:basedOn w:val="a1"/>
    <w:rsid w:val="008768C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11">
    <w:name w:val="K&amp;W Table11"/>
    <w:basedOn w:val="aff7"/>
    <w:rsid w:val="008768CC"/>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210">
    <w:name w:val="网格型21"/>
    <w:basedOn w:val="a1"/>
    <w:qFormat/>
    <w:rsid w:val="008768C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21">
    <w:name w:val="K&amp;W Table21"/>
    <w:basedOn w:val="aff7"/>
    <w:qFormat/>
    <w:rsid w:val="008768CC"/>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310">
    <w:name w:val="网格型31"/>
    <w:basedOn w:val="a1"/>
    <w:uiPriority w:val="59"/>
    <w:qFormat/>
    <w:rsid w:val="008768C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1"/>
    <w:qFormat/>
    <w:rsid w:val="008768C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25682167087599"/>
          <c:y val="3.8488004248735802E-3"/>
          <c:w val="0.50762600901302402"/>
          <c:h val="0.78897884098798499"/>
        </c:manualLayout>
      </c:layout>
      <c:pieChart>
        <c:varyColors val="1"/>
        <c:ser>
          <c:idx val="0"/>
          <c:order val="0"/>
          <c:tx>
            <c:strRef>
              <c:f>Sheet1!$B$1</c:f>
              <c:strCache>
                <c:ptCount val="1"/>
                <c:pt idx="0">
                  <c:v>列2</c:v>
                </c:pt>
              </c:strCache>
            </c:strRef>
          </c:tx>
          <c:dPt>
            <c:idx val="0"/>
            <c:bubble3D val="0"/>
          </c:dPt>
          <c:dPt>
            <c:idx val="1"/>
            <c:bubble3D val="0"/>
          </c:dPt>
          <c:dPt>
            <c:idx val="2"/>
            <c:bubble3D val="0"/>
          </c:dPt>
          <c:dPt>
            <c:idx val="3"/>
            <c:bubble3D val="0"/>
          </c:dPt>
          <c:dLbls>
            <c:dLbl>
              <c:idx val="0"/>
              <c:layout>
                <c:manualLayout>
                  <c:x val="0.179507347677797"/>
                  <c:y val="2.4670501093023801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4.4979620470076101E-2"/>
                  <c:y val="-4.3070917177616998E-2"/>
                </c:manualLayout>
              </c:layout>
              <c:tx>
                <c:rich>
                  <a:bodyPr/>
                  <a:lstStyle/>
                  <a:p>
                    <a:r>
                      <a:rPr lang="zh-CN" altLang="en-US"/>
                      <a:t>大学本科</a:t>
                    </a:r>
                    <a:r>
                      <a:rPr lang="en-US" altLang="zh-CN"/>
                      <a:t>,37.17%</a:t>
                    </a:r>
                    <a:endParaRPr lang="zh-CN" alt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9.78554576318027E-2"/>
                  <c:y val="-6.0095807847899502E-2"/>
                </c:manualLayout>
              </c:layout>
              <c:tx>
                <c:rich>
                  <a:bodyPr/>
                  <a:lstStyle/>
                  <a:p>
                    <a:r>
                      <a:rPr lang="zh-CN" altLang="en-US"/>
                      <a:t>大专</a:t>
                    </a:r>
                    <a:r>
                      <a:rPr lang="en-US" altLang="zh-CN"/>
                      <a:t>, 54.82%</a:t>
                    </a:r>
                    <a:endParaRPr lang="zh-CN" alt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0.13444888713000999"/>
                  <c:y val="4.99826018330852E-2"/>
                </c:manualLayout>
              </c:layout>
              <c:tx>
                <c:rich>
                  <a:bodyPr/>
                  <a:lstStyle/>
                  <a:p>
                    <a:r>
                      <a:rPr lang="zh-CN" altLang="en-US"/>
                      <a:t>中专及以下</a:t>
                    </a:r>
                    <a:r>
                      <a:rPr lang="en-US" altLang="zh-CN"/>
                      <a:t>, 7.88%</a:t>
                    </a:r>
                    <a:endParaRPr lang="zh-CN" alt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研究生及以上</c:v>
                </c:pt>
                <c:pt idx="1">
                  <c:v>大学本科</c:v>
                </c:pt>
                <c:pt idx="2">
                  <c:v>大专</c:v>
                </c:pt>
                <c:pt idx="3">
                  <c:v>中专及以下</c:v>
                </c:pt>
              </c:strCache>
            </c:strRef>
          </c:cat>
          <c:val>
            <c:numRef>
              <c:f>Sheet1!$B$2:$B$5</c:f>
              <c:numCache>
                <c:formatCode>0.00%</c:formatCode>
                <c:ptCount val="4"/>
                <c:pt idx="0">
                  <c:v>1.2999999999999999E-3</c:v>
                </c:pt>
                <c:pt idx="1">
                  <c:v>0.37169999999999997</c:v>
                </c:pt>
                <c:pt idx="2">
                  <c:v>0.54820000000000002</c:v>
                </c:pt>
                <c:pt idx="3">
                  <c:v>7.8799999999999995E-2</c:v>
                </c:pt>
              </c:numCache>
            </c:numRef>
          </c:val>
        </c:ser>
        <c:dLbls>
          <c:showLegendKey val="0"/>
          <c:showVal val="0"/>
          <c:showCatName val="0"/>
          <c:showSerName val="0"/>
          <c:showPercent val="0"/>
          <c:showBubbleSize val="0"/>
          <c:showLeaderLines val="1"/>
        </c:dLbls>
        <c:firstSliceAng val="0"/>
      </c:pieChart>
      <c:spPr>
        <a:noFill/>
        <a:ln w="25380">
          <a:noFill/>
        </a:ln>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spPr>
    <a:ln w="9525" cap="flat" cmpd="sng" algn="ctr">
      <a:noFill/>
      <a:prstDash val="solid"/>
      <a:round/>
    </a:ln>
  </c:spPr>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25682167087599"/>
          <c:y val="3.8488004248735802E-3"/>
          <c:w val="0.50762600901302402"/>
          <c:h val="0.78897884098798499"/>
        </c:manualLayout>
      </c:layout>
      <c:pieChart>
        <c:varyColors val="1"/>
        <c:dLbls>
          <c:showLegendKey val="0"/>
          <c:showVal val="1"/>
          <c:showCatName val="1"/>
          <c:showSerName val="0"/>
          <c:showPercent val="0"/>
          <c:showBubbleSize val="0"/>
          <c:showLeaderLines val="1"/>
        </c:dLbls>
        <c:firstSliceAng val="0"/>
      </c:pieChart>
      <c:spPr>
        <a:noFill/>
        <a:ln w="25380">
          <a:noFill/>
        </a:ln>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spPr>
    <a:ln w="9525" cap="flat" cmpd="sng" algn="ctr">
      <a:noFill/>
      <a:prstDash val="solid"/>
      <a:round/>
    </a:ln>
  </c:spPr>
  <c:txPr>
    <a:bodyPr/>
    <a:lstStyle/>
    <a:p>
      <a:pPr>
        <a:defRPr lang="zh-CN"/>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列2</c:v>
                </c:pt>
              </c:strCache>
            </c:strRef>
          </c:tx>
          <c:dPt>
            <c:idx val="0"/>
            <c:bubble3D val="0"/>
          </c:dPt>
          <c:dPt>
            <c:idx val="1"/>
            <c:bubble3D val="0"/>
          </c:dPt>
          <c:dPt>
            <c:idx val="2"/>
            <c:bubble3D val="0"/>
          </c:dPt>
          <c:dPt>
            <c:idx val="3"/>
            <c:bubble3D val="0"/>
          </c:dPt>
          <c:dPt>
            <c:idx val="4"/>
            <c:bubble3D val="0"/>
          </c:dPt>
          <c:dLbls>
            <c:dLbl>
              <c:idx val="0"/>
              <c:layout>
                <c:manualLayout>
                  <c:x val="0.15643802647412799"/>
                  <c:y val="1.6444910330481101E-2"/>
                </c:manualLayout>
              </c:layout>
              <c:tx>
                <c:rich>
                  <a:bodyPr/>
                  <a:lstStyle/>
                  <a:p>
                    <a:r>
                      <a:rPr lang="en-US" altLang="en-US"/>
                      <a:t>30</a:t>
                    </a:r>
                    <a:r>
                      <a:rPr lang="zh-CN" altLang="en-US"/>
                      <a:t>岁以下：</a:t>
                    </a:r>
                    <a:r>
                      <a:rPr lang="en-US" altLang="en-US"/>
                      <a:t>12.14%</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3694344163658303E-2"/>
                  <c:y val="-0.185758513931889"/>
                </c:manualLayout>
              </c:layout>
              <c:tx>
                <c:rich>
                  <a:bodyPr/>
                  <a:lstStyle/>
                  <a:p>
                    <a:r>
                      <a:rPr lang="en-US" altLang="en-US"/>
                      <a:t>31-35</a:t>
                    </a:r>
                    <a:r>
                      <a:rPr lang="zh-CN" altLang="en-US"/>
                      <a:t>岁：</a:t>
                    </a:r>
                    <a:r>
                      <a:rPr lang="en-US" altLang="en-US"/>
                      <a:t>15.52%</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81347773766546E-2"/>
                  <c:y val="8.6687306501548003E-2"/>
                </c:manualLayout>
              </c:layout>
              <c:tx>
                <c:rich>
                  <a:bodyPr/>
                  <a:lstStyle/>
                  <a:p>
                    <a:r>
                      <a:rPr lang="en-US" altLang="en-US"/>
                      <a:t>36-45</a:t>
                    </a:r>
                    <a:r>
                      <a:rPr lang="zh-CN" altLang="en-US"/>
                      <a:t>岁：</a:t>
                    </a:r>
                    <a:r>
                      <a:rPr lang="en-US" altLang="en-US"/>
                      <a:t>10.14%</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660649819494601E-2"/>
                  <c:y val="6.6047471620227005E-2"/>
                </c:manualLayout>
              </c:layout>
              <c:tx>
                <c:rich>
                  <a:bodyPr/>
                  <a:lstStyle/>
                  <a:p>
                    <a:r>
                      <a:rPr lang="en-US" altLang="en-US"/>
                      <a:t>46-55</a:t>
                    </a:r>
                    <a:r>
                      <a:rPr lang="zh-CN" altLang="en-US"/>
                      <a:t>岁：</a:t>
                    </a:r>
                    <a:r>
                      <a:rPr lang="en-US" altLang="en-US"/>
                      <a:t>49.69%</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6847172081829101"/>
                  <c:y val="0.111455108359133"/>
                </c:manualLayout>
              </c:layout>
              <c:tx>
                <c:rich>
                  <a:bodyPr/>
                  <a:lstStyle/>
                  <a:p>
                    <a:r>
                      <a:rPr lang="en-US" altLang="en-US"/>
                      <a:t>56</a:t>
                    </a:r>
                    <a:r>
                      <a:rPr lang="zh-CN" altLang="en-US"/>
                      <a:t>岁以上：</a:t>
                    </a:r>
                    <a:r>
                      <a:rPr lang="en-US" altLang="en-US"/>
                      <a:t>12.51%</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30岁以下</c:v>
                </c:pt>
                <c:pt idx="1">
                  <c:v>31-35岁</c:v>
                </c:pt>
                <c:pt idx="2">
                  <c:v>36-45岁</c:v>
                </c:pt>
                <c:pt idx="3">
                  <c:v>46-55岁</c:v>
                </c:pt>
                <c:pt idx="4">
                  <c:v>56岁以上</c:v>
                </c:pt>
              </c:strCache>
            </c:strRef>
          </c:cat>
          <c:val>
            <c:numRef>
              <c:f>Sheet1!$B$2:$B$6</c:f>
              <c:numCache>
                <c:formatCode>0.00%</c:formatCode>
                <c:ptCount val="5"/>
                <c:pt idx="0">
                  <c:v>0.12139999999999999</c:v>
                </c:pt>
                <c:pt idx="1">
                  <c:v>0.1552</c:v>
                </c:pt>
                <c:pt idx="2">
                  <c:v>0.1014</c:v>
                </c:pt>
                <c:pt idx="3">
                  <c:v>0.49690000000000001</c:v>
                </c:pt>
                <c:pt idx="4">
                  <c:v>0.12509999999999999</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100</Pages>
  <Words>10049</Words>
  <Characters>57281</Characters>
  <Application>Microsoft Office Word</Application>
  <DocSecurity>0</DocSecurity>
  <Lines>477</Lines>
  <Paragraphs>134</Paragraphs>
  <ScaleCrop>false</ScaleCrop>
  <Company>信宜农商银行</Company>
  <LinksUpToDate>false</LinksUpToDate>
  <CharactersWithSpaces>67196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杨清勇</dc:creator>
  <cp:keywords/>
  <dc:description/>
  <cp:lastModifiedBy>杨清勇</cp:lastModifiedBy>
  <cp:revision>2</cp:revision>
  <dcterms:created xsi:type="dcterms:W3CDTF">2024-04-24T07:28:00Z</dcterms:created>
  <dcterms:modified xsi:type="dcterms:W3CDTF">2024-04-24T07:34:00Z</dcterms:modified>
</cp:coreProperties>
</file>